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2C" w:rsidRDefault="00B8592C" w:rsidP="00B8592C">
      <w:pPr>
        <w:spacing w:line="240" w:lineRule="auto"/>
        <w:jc w:val="center"/>
        <w:rPr>
          <w:rFonts w:ascii="Times New Roman" w:hAnsi="Times New Roman" w:cs="Times New Roman"/>
          <w:b/>
          <w:color w:val="002060"/>
          <w:sz w:val="36"/>
          <w:szCs w:val="24"/>
        </w:rPr>
      </w:pPr>
      <w:r>
        <w:rPr>
          <w:rFonts w:ascii="Times New Roman" w:hAnsi="Times New Roman" w:cs="Times New Roman"/>
          <w:b/>
          <w:color w:val="002060"/>
          <w:sz w:val="36"/>
          <w:szCs w:val="24"/>
        </w:rPr>
        <w:t>Project Paper</w:t>
      </w:r>
    </w:p>
    <w:p w:rsidR="00B8592C" w:rsidRPr="00EE3EF2" w:rsidRDefault="00B8592C" w:rsidP="00B8592C">
      <w:pPr>
        <w:spacing w:line="240" w:lineRule="auto"/>
        <w:jc w:val="center"/>
        <w:rPr>
          <w:rFonts w:ascii="Times New Roman" w:hAnsi="Times New Roman" w:cs="Times New Roman"/>
          <w:b/>
          <w:color w:val="002060"/>
          <w:sz w:val="36"/>
          <w:szCs w:val="24"/>
        </w:rPr>
      </w:pPr>
      <w:r w:rsidRPr="00EE3EF2">
        <w:rPr>
          <w:rFonts w:ascii="Times New Roman" w:hAnsi="Times New Roman" w:cs="Times New Roman"/>
          <w:b/>
          <w:color w:val="002060"/>
          <w:sz w:val="36"/>
          <w:szCs w:val="24"/>
        </w:rPr>
        <w:t xml:space="preserve"> On</w:t>
      </w:r>
    </w:p>
    <w:p w:rsidR="00B8592C" w:rsidRDefault="00B8592C" w:rsidP="00B8592C">
      <w:pPr>
        <w:spacing w:after="0" w:line="240" w:lineRule="auto"/>
        <w:jc w:val="center"/>
        <w:rPr>
          <w:rFonts w:ascii="Times New Roman" w:hAnsi="Times New Roman" w:cs="Times New Roman"/>
          <w:b/>
          <w:bCs/>
          <w:color w:val="00B050"/>
          <w:sz w:val="32"/>
        </w:rPr>
      </w:pPr>
      <w:r>
        <w:rPr>
          <w:rFonts w:ascii="Times New Roman" w:hAnsi="Times New Roman" w:cs="Times New Roman"/>
          <w:b/>
          <w:color w:val="00B050"/>
          <w:sz w:val="32"/>
        </w:rPr>
        <w:t xml:space="preserve">Contribution of Bank for Green Economy through Green Finance Mechanism – Evidence from Bangladesh </w:t>
      </w:r>
    </w:p>
    <w:p w:rsidR="00B8592C" w:rsidRPr="00FA6293" w:rsidRDefault="00B8592C" w:rsidP="00B8592C">
      <w:pPr>
        <w:spacing w:after="0"/>
        <w:jc w:val="center"/>
        <w:rPr>
          <w:rFonts w:ascii="Times New Roman" w:hAnsi="Times New Roman" w:cs="Times New Roman"/>
          <w:b/>
          <w:bCs/>
          <w:color w:val="00B050"/>
          <w:sz w:val="32"/>
        </w:rPr>
      </w:pPr>
    </w:p>
    <w:p w:rsidR="00B8592C" w:rsidRPr="00FB7BC5" w:rsidRDefault="00B8592C" w:rsidP="00B8592C">
      <w:pPr>
        <w:spacing w:after="0"/>
        <w:jc w:val="center"/>
        <w:rPr>
          <w:rFonts w:ascii="Times New Roman" w:hAnsi="Times New Roman" w:cs="Times New Roman"/>
          <w:b/>
          <w:color w:val="7030A0"/>
          <w:sz w:val="28"/>
          <w:u w:val="thick"/>
        </w:rPr>
      </w:pPr>
      <w:r w:rsidRPr="00FB7BC5">
        <w:rPr>
          <w:rFonts w:ascii="Times New Roman" w:hAnsi="Times New Roman" w:cs="Times New Roman"/>
          <w:b/>
          <w:color w:val="7030A0"/>
          <w:sz w:val="28"/>
          <w:u w:val="thick"/>
        </w:rPr>
        <w:t>Submitted to:</w:t>
      </w:r>
    </w:p>
    <w:p w:rsidR="00B8592C" w:rsidRPr="00C815FA" w:rsidRDefault="00B8592C" w:rsidP="00B8592C">
      <w:pPr>
        <w:spacing w:after="0" w:line="240" w:lineRule="auto"/>
        <w:jc w:val="center"/>
        <w:rPr>
          <w:rFonts w:ascii="Times New Roman" w:hAnsi="Times New Roman" w:cs="Times New Roman"/>
          <w:b/>
          <w:sz w:val="10"/>
        </w:rPr>
      </w:pPr>
    </w:p>
    <w:p w:rsidR="00B8592C" w:rsidRPr="00C815FA" w:rsidRDefault="00B8592C" w:rsidP="00B8592C">
      <w:pPr>
        <w:spacing w:after="0" w:line="240" w:lineRule="auto"/>
        <w:jc w:val="center"/>
        <w:rPr>
          <w:rFonts w:ascii="Times New Roman" w:hAnsi="Times New Roman" w:cs="Times New Roman"/>
          <w:b/>
          <w:sz w:val="28"/>
        </w:rPr>
      </w:pPr>
      <w:r w:rsidRPr="00C815FA">
        <w:rPr>
          <w:rFonts w:ascii="Times New Roman" w:hAnsi="Times New Roman" w:cs="Times New Roman"/>
          <w:b/>
          <w:sz w:val="28"/>
        </w:rPr>
        <w:t>Controller of Examinations</w:t>
      </w:r>
    </w:p>
    <w:p w:rsidR="00B8592C" w:rsidRPr="00C815FA" w:rsidRDefault="00B8592C" w:rsidP="00B8592C">
      <w:pPr>
        <w:spacing w:after="0" w:line="240" w:lineRule="auto"/>
        <w:jc w:val="center"/>
        <w:rPr>
          <w:rFonts w:ascii="Times New Roman" w:hAnsi="Times New Roman" w:cs="Times New Roman"/>
          <w:b/>
          <w:sz w:val="28"/>
        </w:rPr>
      </w:pPr>
      <w:r w:rsidRPr="00C815FA">
        <w:rPr>
          <w:rFonts w:ascii="Times New Roman" w:hAnsi="Times New Roman" w:cs="Times New Roman"/>
          <w:b/>
          <w:sz w:val="28"/>
        </w:rPr>
        <w:t>National University</w:t>
      </w:r>
    </w:p>
    <w:p w:rsidR="00B8592C" w:rsidRPr="00C815FA" w:rsidRDefault="00B8592C" w:rsidP="00B8592C">
      <w:pPr>
        <w:spacing w:after="0" w:line="240" w:lineRule="auto"/>
        <w:jc w:val="center"/>
        <w:rPr>
          <w:rFonts w:ascii="Times New Roman" w:hAnsi="Times New Roman" w:cs="Times New Roman"/>
          <w:b/>
          <w:sz w:val="28"/>
        </w:rPr>
      </w:pPr>
      <w:proofErr w:type="spellStart"/>
      <w:r w:rsidRPr="00C815FA">
        <w:rPr>
          <w:rFonts w:ascii="Times New Roman" w:hAnsi="Times New Roman" w:cs="Times New Roman"/>
          <w:b/>
          <w:sz w:val="28"/>
        </w:rPr>
        <w:t>Gazipur</w:t>
      </w:r>
      <w:proofErr w:type="spellEnd"/>
      <w:r w:rsidRPr="00C815FA">
        <w:rPr>
          <w:rFonts w:ascii="Times New Roman" w:hAnsi="Times New Roman" w:cs="Times New Roman"/>
          <w:b/>
          <w:sz w:val="28"/>
        </w:rPr>
        <w:t>–1704</w:t>
      </w:r>
    </w:p>
    <w:p w:rsidR="00B8592C" w:rsidRPr="00C815FA" w:rsidRDefault="00B8592C" w:rsidP="00B8592C">
      <w:pPr>
        <w:jc w:val="center"/>
        <w:rPr>
          <w:rFonts w:ascii="Times New Roman" w:hAnsi="Times New Roman" w:cs="Times New Roman"/>
          <w:b/>
          <w:color w:val="4A442A" w:themeColor="background2" w:themeShade="40"/>
          <w:sz w:val="20"/>
          <w:u w:val="thick"/>
        </w:rPr>
      </w:pPr>
    </w:p>
    <w:p w:rsidR="00B8592C" w:rsidRPr="00FB7BC5" w:rsidRDefault="00B8592C" w:rsidP="00B8592C">
      <w:pPr>
        <w:spacing w:after="0"/>
        <w:jc w:val="center"/>
        <w:rPr>
          <w:rFonts w:ascii="Times New Roman" w:hAnsi="Times New Roman" w:cs="Times New Roman"/>
          <w:b/>
          <w:color w:val="7030A0"/>
          <w:sz w:val="28"/>
          <w:u w:val="thick"/>
        </w:rPr>
      </w:pPr>
      <w:r w:rsidRPr="00FB7BC5">
        <w:rPr>
          <w:rFonts w:ascii="Times New Roman" w:hAnsi="Times New Roman" w:cs="Times New Roman"/>
          <w:b/>
          <w:color w:val="7030A0"/>
          <w:sz w:val="28"/>
          <w:u w:val="thick"/>
        </w:rPr>
        <w:t>Supervised By:</w:t>
      </w:r>
    </w:p>
    <w:p w:rsidR="00B8592C" w:rsidRPr="00C815FA" w:rsidRDefault="00B8592C" w:rsidP="00B8592C">
      <w:pPr>
        <w:spacing w:after="0" w:line="240" w:lineRule="auto"/>
        <w:jc w:val="center"/>
        <w:rPr>
          <w:rFonts w:ascii="Times New Roman" w:hAnsi="Times New Roman" w:cs="Times New Roman"/>
          <w:b/>
          <w:sz w:val="10"/>
        </w:rPr>
      </w:pPr>
    </w:p>
    <w:p w:rsidR="00B8592C" w:rsidRPr="00C815FA" w:rsidRDefault="00B8592C" w:rsidP="00B8592C">
      <w:pPr>
        <w:spacing w:after="0" w:line="240" w:lineRule="auto"/>
        <w:jc w:val="center"/>
        <w:rPr>
          <w:rFonts w:ascii="Times New Roman" w:hAnsi="Times New Roman" w:cs="Times New Roman"/>
          <w:b/>
          <w:sz w:val="28"/>
        </w:rPr>
      </w:pPr>
      <w:proofErr w:type="spellStart"/>
      <w:r w:rsidRPr="00C815FA">
        <w:rPr>
          <w:rFonts w:ascii="Times New Roman" w:hAnsi="Times New Roman" w:cs="Times New Roman"/>
          <w:b/>
          <w:sz w:val="28"/>
        </w:rPr>
        <w:t>Aminul</w:t>
      </w:r>
      <w:proofErr w:type="spellEnd"/>
      <w:r>
        <w:rPr>
          <w:rFonts w:ascii="Times New Roman" w:hAnsi="Times New Roman" w:cs="Times New Roman"/>
          <w:b/>
          <w:sz w:val="28"/>
        </w:rPr>
        <w:t xml:space="preserve"> </w:t>
      </w:r>
      <w:proofErr w:type="spellStart"/>
      <w:r w:rsidRPr="00C815FA">
        <w:rPr>
          <w:rFonts w:ascii="Times New Roman" w:hAnsi="Times New Roman" w:cs="Times New Roman"/>
          <w:b/>
          <w:sz w:val="28"/>
        </w:rPr>
        <w:t>Haque</w:t>
      </w:r>
      <w:proofErr w:type="spellEnd"/>
      <w:r>
        <w:rPr>
          <w:rFonts w:ascii="Times New Roman" w:hAnsi="Times New Roman" w:cs="Times New Roman"/>
          <w:b/>
          <w:sz w:val="28"/>
        </w:rPr>
        <w:t xml:space="preserve"> </w:t>
      </w:r>
      <w:proofErr w:type="spellStart"/>
      <w:r w:rsidRPr="00C815FA">
        <w:rPr>
          <w:rFonts w:ascii="Times New Roman" w:hAnsi="Times New Roman" w:cs="Times New Roman"/>
          <w:b/>
          <w:sz w:val="28"/>
        </w:rPr>
        <w:t>Russel</w:t>
      </w:r>
      <w:proofErr w:type="spellEnd"/>
    </w:p>
    <w:p w:rsidR="00B8592C" w:rsidRPr="00C815FA" w:rsidRDefault="00B8592C" w:rsidP="00B8592C">
      <w:pPr>
        <w:spacing w:after="0" w:line="240" w:lineRule="auto"/>
        <w:jc w:val="center"/>
        <w:rPr>
          <w:rFonts w:ascii="Times New Roman" w:hAnsi="Times New Roman" w:cs="Times New Roman"/>
          <w:b/>
          <w:sz w:val="28"/>
        </w:rPr>
      </w:pPr>
      <w:r w:rsidRPr="00C815FA">
        <w:rPr>
          <w:rFonts w:ascii="Times New Roman" w:hAnsi="Times New Roman" w:cs="Times New Roman"/>
          <w:b/>
          <w:sz w:val="28"/>
        </w:rPr>
        <w:t xml:space="preserve">Lecturer </w:t>
      </w:r>
    </w:p>
    <w:p w:rsidR="00B8592C" w:rsidRPr="00C815FA" w:rsidRDefault="00B8592C" w:rsidP="00B8592C">
      <w:pPr>
        <w:spacing w:after="0" w:line="240" w:lineRule="auto"/>
        <w:jc w:val="center"/>
        <w:rPr>
          <w:rFonts w:ascii="Times New Roman" w:hAnsi="Times New Roman" w:cs="Times New Roman"/>
          <w:b/>
          <w:sz w:val="28"/>
        </w:rPr>
      </w:pPr>
      <w:r w:rsidRPr="00C815FA">
        <w:rPr>
          <w:rFonts w:ascii="Times New Roman" w:hAnsi="Times New Roman" w:cs="Times New Roman"/>
          <w:b/>
          <w:sz w:val="28"/>
        </w:rPr>
        <w:t>Department of Business Administration</w:t>
      </w:r>
    </w:p>
    <w:p w:rsidR="00B8592C" w:rsidRPr="00C815FA" w:rsidRDefault="00B8592C" w:rsidP="00B8592C">
      <w:pPr>
        <w:spacing w:after="0" w:line="240" w:lineRule="auto"/>
        <w:jc w:val="center"/>
        <w:rPr>
          <w:rFonts w:ascii="Times New Roman" w:hAnsi="Times New Roman" w:cs="Times New Roman"/>
          <w:b/>
          <w:sz w:val="28"/>
        </w:rPr>
      </w:pPr>
      <w:r w:rsidRPr="00C815FA">
        <w:rPr>
          <w:rFonts w:ascii="Times New Roman" w:hAnsi="Times New Roman" w:cs="Times New Roman"/>
          <w:b/>
          <w:sz w:val="28"/>
        </w:rPr>
        <w:t>Daffodil Institute of IT (DIIT)</w:t>
      </w:r>
    </w:p>
    <w:p w:rsidR="00B8592C" w:rsidRPr="00C815FA" w:rsidRDefault="00B8592C" w:rsidP="00B8592C">
      <w:pPr>
        <w:jc w:val="center"/>
        <w:rPr>
          <w:rFonts w:ascii="Times New Roman" w:hAnsi="Times New Roman" w:cs="Times New Roman"/>
          <w:b/>
          <w:color w:val="4A442A" w:themeColor="background2" w:themeShade="40"/>
          <w:sz w:val="20"/>
          <w:u w:val="thick"/>
        </w:rPr>
      </w:pPr>
    </w:p>
    <w:p w:rsidR="00B8592C" w:rsidRPr="00FB7BC5" w:rsidRDefault="00B8592C" w:rsidP="00B8592C">
      <w:pPr>
        <w:jc w:val="center"/>
        <w:rPr>
          <w:rFonts w:ascii="Times New Roman" w:hAnsi="Times New Roman" w:cs="Times New Roman"/>
          <w:b/>
          <w:color w:val="7030A0"/>
          <w:sz w:val="24"/>
          <w:u w:val="thick"/>
        </w:rPr>
      </w:pPr>
      <w:r w:rsidRPr="00FB7BC5">
        <w:rPr>
          <w:rFonts w:ascii="Times New Roman" w:hAnsi="Times New Roman" w:cs="Times New Roman"/>
          <w:b/>
          <w:color w:val="7030A0"/>
          <w:sz w:val="28"/>
          <w:u w:val="thick"/>
        </w:rPr>
        <w:t>Submitted By:</w:t>
      </w:r>
    </w:p>
    <w:p w:rsidR="00B8592C" w:rsidRPr="00C815FA" w:rsidRDefault="00B8592C" w:rsidP="00B8592C">
      <w:pPr>
        <w:spacing w:after="0" w:line="240" w:lineRule="auto"/>
        <w:jc w:val="center"/>
        <w:rPr>
          <w:rFonts w:ascii="Times New Roman" w:hAnsi="Times New Roman" w:cs="Times New Roman"/>
          <w:b/>
          <w:sz w:val="28"/>
        </w:rPr>
      </w:pPr>
      <w:r w:rsidRPr="00C815FA">
        <w:rPr>
          <w:rFonts w:ascii="Times New Roman" w:hAnsi="Times New Roman" w:cs="Times New Roman"/>
          <w:b/>
          <w:sz w:val="28"/>
        </w:rPr>
        <w:t xml:space="preserve">Md. </w:t>
      </w:r>
      <w:proofErr w:type="spellStart"/>
      <w:r w:rsidRPr="00C815FA">
        <w:rPr>
          <w:rFonts w:ascii="Times New Roman" w:hAnsi="Times New Roman" w:cs="Times New Roman"/>
          <w:b/>
          <w:sz w:val="28"/>
        </w:rPr>
        <w:t>Farhad</w:t>
      </w:r>
      <w:proofErr w:type="spellEnd"/>
      <w:r>
        <w:rPr>
          <w:rFonts w:ascii="Times New Roman" w:hAnsi="Times New Roman" w:cs="Times New Roman"/>
          <w:b/>
          <w:sz w:val="28"/>
        </w:rPr>
        <w:t xml:space="preserve"> </w:t>
      </w:r>
      <w:proofErr w:type="spellStart"/>
      <w:r w:rsidRPr="00C815FA">
        <w:rPr>
          <w:rFonts w:ascii="Times New Roman" w:hAnsi="Times New Roman" w:cs="Times New Roman"/>
          <w:b/>
          <w:sz w:val="28"/>
        </w:rPr>
        <w:t>Hossain</w:t>
      </w:r>
      <w:proofErr w:type="spellEnd"/>
    </w:p>
    <w:p w:rsidR="00B8592C" w:rsidRPr="00C815FA" w:rsidRDefault="00B8592C" w:rsidP="00B8592C">
      <w:pPr>
        <w:spacing w:after="0" w:line="240" w:lineRule="auto"/>
        <w:jc w:val="center"/>
        <w:rPr>
          <w:rFonts w:ascii="Times New Roman" w:hAnsi="Times New Roman" w:cs="Times New Roman"/>
          <w:b/>
          <w:sz w:val="28"/>
        </w:rPr>
      </w:pPr>
      <w:r w:rsidRPr="00C815FA">
        <w:rPr>
          <w:rFonts w:ascii="Times New Roman" w:hAnsi="Times New Roman" w:cs="Times New Roman"/>
          <w:b/>
          <w:sz w:val="28"/>
        </w:rPr>
        <w:t xml:space="preserve">Roll No: 1172412, </w:t>
      </w:r>
    </w:p>
    <w:p w:rsidR="00B8592C" w:rsidRPr="00C815FA" w:rsidRDefault="00B8592C" w:rsidP="00B8592C">
      <w:pPr>
        <w:spacing w:after="0" w:line="240" w:lineRule="auto"/>
        <w:jc w:val="center"/>
        <w:rPr>
          <w:rFonts w:ascii="Times New Roman" w:hAnsi="Times New Roman" w:cs="Times New Roman"/>
          <w:b/>
          <w:sz w:val="28"/>
        </w:rPr>
      </w:pPr>
      <w:r w:rsidRPr="00C815FA">
        <w:rPr>
          <w:rFonts w:ascii="Times New Roman" w:hAnsi="Times New Roman" w:cs="Times New Roman"/>
          <w:b/>
          <w:sz w:val="28"/>
        </w:rPr>
        <w:t>Registration No: 1177080</w:t>
      </w:r>
    </w:p>
    <w:p w:rsidR="00B8592C" w:rsidRPr="00C815FA" w:rsidRDefault="00B8592C" w:rsidP="00B8592C">
      <w:pPr>
        <w:spacing w:after="0" w:line="240" w:lineRule="auto"/>
        <w:jc w:val="center"/>
        <w:rPr>
          <w:rFonts w:ascii="Times New Roman" w:hAnsi="Times New Roman" w:cs="Times New Roman"/>
          <w:b/>
          <w:sz w:val="28"/>
        </w:rPr>
      </w:pPr>
      <w:r>
        <w:rPr>
          <w:rFonts w:ascii="Times New Roman" w:hAnsi="Times New Roman" w:cs="Times New Roman"/>
          <w:b/>
          <w:sz w:val="28"/>
        </w:rPr>
        <w:t>Major in Finance</w:t>
      </w:r>
    </w:p>
    <w:p w:rsidR="00B8592C" w:rsidRPr="00C815FA" w:rsidRDefault="00B8592C" w:rsidP="00B8592C">
      <w:pPr>
        <w:spacing w:after="0" w:line="240" w:lineRule="auto"/>
        <w:jc w:val="center"/>
        <w:rPr>
          <w:rFonts w:ascii="Times New Roman" w:hAnsi="Times New Roman" w:cs="Times New Roman"/>
          <w:b/>
          <w:sz w:val="28"/>
        </w:rPr>
      </w:pPr>
      <w:r w:rsidRPr="00C815FA">
        <w:rPr>
          <w:rFonts w:ascii="Times New Roman" w:hAnsi="Times New Roman" w:cs="Times New Roman"/>
          <w:b/>
          <w:sz w:val="28"/>
        </w:rPr>
        <w:t>Session: 2010-11</w:t>
      </w:r>
    </w:p>
    <w:p w:rsidR="00B8592C" w:rsidRDefault="00B8592C" w:rsidP="00B8592C">
      <w:pPr>
        <w:spacing w:after="0" w:line="240" w:lineRule="auto"/>
        <w:jc w:val="center"/>
        <w:rPr>
          <w:rFonts w:ascii="Times New Roman" w:hAnsi="Times New Roman" w:cs="Times New Roman"/>
          <w:b/>
          <w:sz w:val="28"/>
        </w:rPr>
      </w:pPr>
      <w:r w:rsidRPr="00C815FA">
        <w:rPr>
          <w:rFonts w:ascii="Times New Roman" w:hAnsi="Times New Roman" w:cs="Times New Roman"/>
          <w:b/>
          <w:sz w:val="28"/>
        </w:rPr>
        <w:t>Program: BBA</w:t>
      </w:r>
    </w:p>
    <w:p w:rsidR="00B8592C" w:rsidRDefault="00B8592C" w:rsidP="00B8592C">
      <w:pPr>
        <w:spacing w:after="0" w:line="240" w:lineRule="auto"/>
        <w:jc w:val="center"/>
        <w:rPr>
          <w:rFonts w:ascii="Times New Roman" w:hAnsi="Times New Roman" w:cs="Times New Roman"/>
          <w:b/>
          <w:sz w:val="28"/>
        </w:rPr>
      </w:pPr>
      <w:r>
        <w:rPr>
          <w:rFonts w:ascii="Times New Roman" w:hAnsi="Times New Roman" w:cs="Times New Roman"/>
          <w:noProof/>
          <w:sz w:val="24"/>
        </w:rPr>
        <w:drawing>
          <wp:anchor distT="0" distB="0" distL="114300" distR="114300" simplePos="0" relativeHeight="251661312" behindDoc="1" locked="0" layoutInCell="1" allowOverlap="1" wp14:anchorId="5311E261" wp14:editId="70269547">
            <wp:simplePos x="0" y="0"/>
            <wp:positionH relativeFrom="column">
              <wp:posOffset>2409825</wp:posOffset>
            </wp:positionH>
            <wp:positionV relativeFrom="paragraph">
              <wp:posOffset>114300</wp:posOffset>
            </wp:positionV>
            <wp:extent cx="1152525" cy="605155"/>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05155"/>
                    </a:xfrm>
                    <a:prstGeom prst="rect">
                      <a:avLst/>
                    </a:prstGeom>
                    <a:noFill/>
                    <a:ln>
                      <a:noFill/>
                    </a:ln>
                  </pic:spPr>
                </pic:pic>
              </a:graphicData>
            </a:graphic>
          </wp:anchor>
        </w:drawing>
      </w:r>
    </w:p>
    <w:p w:rsidR="00B8592C" w:rsidRPr="00C815FA" w:rsidRDefault="00B8592C" w:rsidP="00B8592C">
      <w:pPr>
        <w:spacing w:after="0" w:line="240" w:lineRule="auto"/>
        <w:jc w:val="center"/>
        <w:rPr>
          <w:rFonts w:ascii="Times New Roman" w:hAnsi="Times New Roman" w:cs="Times New Roman"/>
          <w:b/>
          <w:sz w:val="28"/>
        </w:rPr>
      </w:pPr>
    </w:p>
    <w:p w:rsidR="00B8592C" w:rsidRDefault="00B8592C" w:rsidP="00B8592C">
      <w:pPr>
        <w:spacing w:line="240" w:lineRule="auto"/>
        <w:jc w:val="both"/>
        <w:rPr>
          <w:rFonts w:ascii="Times New Roman" w:hAnsi="Times New Roman" w:cs="Times New Roman"/>
          <w:sz w:val="24"/>
        </w:rPr>
      </w:pPr>
    </w:p>
    <w:p w:rsidR="00B8592C" w:rsidRDefault="00B8592C" w:rsidP="00B8592C">
      <w:pPr>
        <w:spacing w:line="240" w:lineRule="auto"/>
        <w:jc w:val="center"/>
        <w:rPr>
          <w:rFonts w:ascii="Times New Roman" w:hAnsi="Times New Roman" w:cs="Times New Roman"/>
          <w:sz w:val="2"/>
        </w:rPr>
      </w:pPr>
    </w:p>
    <w:p w:rsidR="00B8592C" w:rsidRDefault="00B8592C" w:rsidP="00B8592C">
      <w:pPr>
        <w:spacing w:line="24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1339B02B" wp14:editId="27282057">
            <wp:extent cx="828675" cy="914400"/>
            <wp:effectExtent l="0" t="0" r="0" b="0"/>
            <wp:docPr id="2" name="Picture 1" descr="N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LOGO.jpg"/>
                    <pic:cNvPicPr/>
                  </pic:nvPicPr>
                  <pic:blipFill>
                    <a:blip r:embed="rId9"/>
                    <a:stretch>
                      <a:fillRect/>
                    </a:stretch>
                  </pic:blipFill>
                  <pic:spPr>
                    <a:xfrm>
                      <a:off x="0" y="0"/>
                      <a:ext cx="828675" cy="914400"/>
                    </a:xfrm>
                    <a:prstGeom prst="rect">
                      <a:avLst/>
                    </a:prstGeom>
                  </pic:spPr>
                </pic:pic>
              </a:graphicData>
            </a:graphic>
          </wp:inline>
        </w:drawing>
      </w:r>
    </w:p>
    <w:p w:rsidR="00B8592C" w:rsidRPr="00B92429" w:rsidRDefault="00B8592C" w:rsidP="00B8592C">
      <w:pPr>
        <w:spacing w:after="0" w:line="360" w:lineRule="auto"/>
        <w:jc w:val="center"/>
        <w:rPr>
          <w:rFonts w:ascii="Times New Roman" w:hAnsi="Times New Roman" w:cs="Times New Roman"/>
          <w:b/>
          <w:sz w:val="24"/>
        </w:rPr>
      </w:pPr>
      <w:r w:rsidRPr="00B92429">
        <w:rPr>
          <w:rFonts w:ascii="Times New Roman" w:hAnsi="Times New Roman" w:cs="Times New Roman"/>
          <w:b/>
          <w:sz w:val="24"/>
        </w:rPr>
        <w:t>National University, Bangladesh</w:t>
      </w:r>
    </w:p>
    <w:p w:rsidR="00B8592C" w:rsidRPr="00B92429" w:rsidRDefault="00B8592C" w:rsidP="00B8592C">
      <w:pPr>
        <w:tabs>
          <w:tab w:val="left" w:pos="2450"/>
        </w:tabs>
        <w:spacing w:after="0" w:line="360" w:lineRule="auto"/>
        <w:jc w:val="center"/>
        <w:rPr>
          <w:rFonts w:ascii="Times New Roman" w:hAnsi="Times New Roman" w:cs="Times New Roman"/>
          <w:b/>
          <w:sz w:val="24"/>
        </w:rPr>
      </w:pPr>
      <w:r w:rsidRPr="00B92429">
        <w:rPr>
          <w:rFonts w:ascii="Times New Roman" w:hAnsi="Times New Roman" w:cs="Times New Roman"/>
          <w:b/>
          <w:sz w:val="24"/>
        </w:rPr>
        <w:t>Date of Submission: April 09, 2016</w:t>
      </w:r>
    </w:p>
    <w:p w:rsidR="00B8592C" w:rsidRDefault="00B8592C" w:rsidP="009F50E8">
      <w:pPr>
        <w:tabs>
          <w:tab w:val="left" w:pos="2450"/>
        </w:tabs>
        <w:jc w:val="center"/>
        <w:rPr>
          <w:rFonts w:ascii="Times New Roman" w:hAnsi="Times New Roman" w:cs="Times New Roman"/>
          <w:b/>
          <w:color w:val="FF00FF"/>
          <w:sz w:val="32"/>
          <w:szCs w:val="24"/>
          <w:u w:val="single"/>
        </w:rPr>
      </w:pPr>
    </w:p>
    <w:p w:rsidR="00B8592C" w:rsidRDefault="00B8592C" w:rsidP="009F50E8">
      <w:pPr>
        <w:tabs>
          <w:tab w:val="left" w:pos="2450"/>
        </w:tabs>
        <w:jc w:val="center"/>
        <w:rPr>
          <w:rFonts w:ascii="Times New Roman" w:hAnsi="Times New Roman" w:cs="Times New Roman"/>
          <w:b/>
          <w:color w:val="FF00FF"/>
          <w:sz w:val="32"/>
          <w:szCs w:val="24"/>
          <w:u w:val="single"/>
        </w:rPr>
      </w:pPr>
    </w:p>
    <w:p w:rsidR="00E05CA5" w:rsidRPr="009F50E8" w:rsidRDefault="00E05CA5" w:rsidP="009F50E8">
      <w:pPr>
        <w:tabs>
          <w:tab w:val="left" w:pos="2450"/>
        </w:tabs>
        <w:jc w:val="center"/>
        <w:rPr>
          <w:rFonts w:ascii="Times New Roman" w:hAnsi="Times New Roman" w:cs="Times New Roman"/>
          <w:b/>
          <w:color w:val="FF00FF"/>
          <w:sz w:val="32"/>
          <w:szCs w:val="24"/>
          <w:u w:val="single"/>
        </w:rPr>
      </w:pPr>
      <w:r w:rsidRPr="009F50E8">
        <w:rPr>
          <w:rFonts w:ascii="Times New Roman" w:hAnsi="Times New Roman" w:cs="Times New Roman"/>
          <w:b/>
          <w:color w:val="FF00FF"/>
          <w:sz w:val="32"/>
          <w:szCs w:val="24"/>
          <w:u w:val="single"/>
        </w:rPr>
        <w:lastRenderedPageBreak/>
        <w:t>Letter of Transmittal</w:t>
      </w:r>
    </w:p>
    <w:p w:rsidR="00E05CA5" w:rsidRDefault="00E05CA5" w:rsidP="00717369">
      <w:pPr>
        <w:tabs>
          <w:tab w:val="left" w:pos="2450"/>
        </w:tabs>
        <w:spacing w:after="0" w:line="240" w:lineRule="auto"/>
        <w:jc w:val="both"/>
        <w:rPr>
          <w:rFonts w:ascii="Times New Roman" w:hAnsi="Times New Roman" w:cs="Times New Roman"/>
          <w:sz w:val="24"/>
        </w:rPr>
      </w:pPr>
      <w:r>
        <w:rPr>
          <w:rFonts w:ascii="Times New Roman" w:hAnsi="Times New Roman" w:cs="Times New Roman"/>
          <w:sz w:val="24"/>
        </w:rPr>
        <w:t>Date:</w:t>
      </w:r>
      <w:r w:rsidR="009F50E8">
        <w:rPr>
          <w:rFonts w:ascii="Times New Roman" w:hAnsi="Times New Roman" w:cs="Times New Roman"/>
          <w:sz w:val="24"/>
        </w:rPr>
        <w:t xml:space="preserve"> April 09, 2016</w:t>
      </w:r>
    </w:p>
    <w:p w:rsidR="00C77AED" w:rsidRDefault="00C77AED" w:rsidP="00717369">
      <w:pPr>
        <w:tabs>
          <w:tab w:val="left" w:pos="2450"/>
        </w:tabs>
        <w:spacing w:after="0" w:line="240" w:lineRule="auto"/>
        <w:jc w:val="both"/>
        <w:rPr>
          <w:rFonts w:ascii="Times New Roman" w:hAnsi="Times New Roman" w:cs="Times New Roman"/>
          <w:sz w:val="24"/>
        </w:rPr>
      </w:pPr>
    </w:p>
    <w:p w:rsidR="00E05CA5" w:rsidRDefault="00E05CA5" w:rsidP="00717369">
      <w:pPr>
        <w:tabs>
          <w:tab w:val="left" w:pos="2450"/>
        </w:tabs>
        <w:spacing w:after="0" w:line="240" w:lineRule="auto"/>
        <w:jc w:val="both"/>
        <w:rPr>
          <w:rFonts w:ascii="Times New Roman" w:hAnsi="Times New Roman" w:cs="Times New Roman"/>
          <w:sz w:val="24"/>
        </w:rPr>
      </w:pPr>
      <w:r>
        <w:rPr>
          <w:rFonts w:ascii="Times New Roman" w:hAnsi="Times New Roman" w:cs="Times New Roman"/>
          <w:sz w:val="24"/>
        </w:rPr>
        <w:t>Controller of Examination</w:t>
      </w:r>
      <w:r w:rsidR="00057FA2">
        <w:rPr>
          <w:rFonts w:ascii="Times New Roman" w:hAnsi="Times New Roman" w:cs="Times New Roman"/>
          <w:sz w:val="24"/>
        </w:rPr>
        <w:t>s</w:t>
      </w:r>
    </w:p>
    <w:p w:rsidR="00E05CA5" w:rsidRDefault="00E05CA5" w:rsidP="00717369">
      <w:pPr>
        <w:tabs>
          <w:tab w:val="left" w:pos="2450"/>
        </w:tabs>
        <w:spacing w:after="0" w:line="240" w:lineRule="auto"/>
        <w:jc w:val="both"/>
        <w:rPr>
          <w:rFonts w:ascii="Times New Roman" w:hAnsi="Times New Roman" w:cs="Times New Roman"/>
          <w:sz w:val="24"/>
        </w:rPr>
      </w:pPr>
      <w:r>
        <w:rPr>
          <w:rFonts w:ascii="Times New Roman" w:hAnsi="Times New Roman" w:cs="Times New Roman"/>
          <w:sz w:val="24"/>
        </w:rPr>
        <w:t>National Examination</w:t>
      </w:r>
    </w:p>
    <w:p w:rsidR="00E05CA5" w:rsidRDefault="00E05CA5" w:rsidP="00717369">
      <w:pPr>
        <w:tabs>
          <w:tab w:val="left" w:pos="2450"/>
        </w:tabs>
        <w:spacing w:after="0" w:line="240" w:lineRule="auto"/>
        <w:jc w:val="both"/>
        <w:rPr>
          <w:rFonts w:ascii="Times New Roman" w:hAnsi="Times New Roman" w:cs="Times New Roman"/>
          <w:sz w:val="24"/>
        </w:rPr>
      </w:pPr>
      <w:r>
        <w:rPr>
          <w:rFonts w:ascii="Times New Roman" w:hAnsi="Times New Roman" w:cs="Times New Roman"/>
          <w:sz w:val="24"/>
        </w:rPr>
        <w:t>Gazipur-1704,</w:t>
      </w:r>
    </w:p>
    <w:p w:rsidR="00E05CA5" w:rsidRDefault="00E05CA5" w:rsidP="00717369">
      <w:pPr>
        <w:tabs>
          <w:tab w:val="left" w:pos="2450"/>
        </w:tabs>
        <w:spacing w:after="0" w:line="240" w:lineRule="auto"/>
        <w:jc w:val="both"/>
        <w:rPr>
          <w:rFonts w:ascii="Times New Roman" w:hAnsi="Times New Roman" w:cs="Times New Roman"/>
          <w:sz w:val="24"/>
        </w:rPr>
      </w:pPr>
      <w:r>
        <w:rPr>
          <w:rFonts w:ascii="Times New Roman" w:hAnsi="Times New Roman" w:cs="Times New Roman"/>
          <w:sz w:val="24"/>
        </w:rPr>
        <w:t>Dhaka, Bangladesh</w:t>
      </w:r>
    </w:p>
    <w:p w:rsidR="00E05CA5" w:rsidRDefault="00E05CA5" w:rsidP="00717369">
      <w:pPr>
        <w:tabs>
          <w:tab w:val="left" w:pos="2450"/>
        </w:tabs>
        <w:spacing w:after="0"/>
        <w:jc w:val="both"/>
        <w:rPr>
          <w:rFonts w:ascii="Times New Roman" w:hAnsi="Times New Roman" w:cs="Times New Roman"/>
          <w:sz w:val="24"/>
        </w:rPr>
      </w:pPr>
    </w:p>
    <w:p w:rsidR="00E05CA5" w:rsidRPr="00717369" w:rsidRDefault="00E05CA5" w:rsidP="00E05CA5">
      <w:pPr>
        <w:tabs>
          <w:tab w:val="left" w:pos="2450"/>
        </w:tabs>
        <w:jc w:val="both"/>
        <w:rPr>
          <w:rFonts w:ascii="Times New Roman" w:hAnsi="Times New Roman" w:cs="Times New Roman"/>
          <w:b/>
          <w:bCs/>
          <w:sz w:val="24"/>
        </w:rPr>
      </w:pPr>
      <w:r w:rsidRPr="00717369">
        <w:rPr>
          <w:rFonts w:ascii="Times New Roman" w:hAnsi="Times New Roman" w:cs="Times New Roman"/>
          <w:b/>
          <w:bCs/>
          <w:sz w:val="24"/>
        </w:rPr>
        <w:t xml:space="preserve">Subject: Submission of </w:t>
      </w:r>
      <w:r w:rsidR="00725FAA">
        <w:rPr>
          <w:rFonts w:ascii="Times New Roman" w:hAnsi="Times New Roman" w:cs="Times New Roman"/>
          <w:b/>
          <w:bCs/>
          <w:sz w:val="24"/>
        </w:rPr>
        <w:t>Project paper</w:t>
      </w:r>
    </w:p>
    <w:p w:rsidR="00E05CA5" w:rsidRDefault="00E05CA5" w:rsidP="00E05CA5">
      <w:pPr>
        <w:tabs>
          <w:tab w:val="left" w:pos="2450"/>
        </w:tabs>
        <w:jc w:val="both"/>
        <w:rPr>
          <w:rFonts w:ascii="Times New Roman" w:hAnsi="Times New Roman" w:cs="Times New Roman"/>
          <w:sz w:val="24"/>
        </w:rPr>
      </w:pPr>
      <w:r>
        <w:rPr>
          <w:rFonts w:ascii="Times New Roman" w:hAnsi="Times New Roman" w:cs="Times New Roman"/>
          <w:sz w:val="24"/>
        </w:rPr>
        <w:t xml:space="preserve">Dear </w:t>
      </w:r>
      <w:r w:rsidR="00717369">
        <w:rPr>
          <w:rFonts w:ascii="Times New Roman" w:hAnsi="Times New Roman" w:cs="Times New Roman"/>
          <w:sz w:val="24"/>
        </w:rPr>
        <w:t>Sir</w:t>
      </w:r>
      <w:r>
        <w:rPr>
          <w:rFonts w:ascii="Times New Roman" w:hAnsi="Times New Roman" w:cs="Times New Roman"/>
          <w:sz w:val="24"/>
        </w:rPr>
        <w:t>,</w:t>
      </w:r>
    </w:p>
    <w:p w:rsidR="00717369" w:rsidRPr="00717369" w:rsidRDefault="00717369" w:rsidP="00C77AED">
      <w:pPr>
        <w:tabs>
          <w:tab w:val="left" w:pos="2450"/>
        </w:tabs>
        <w:spacing w:after="0"/>
        <w:jc w:val="both"/>
        <w:rPr>
          <w:rFonts w:ascii="Times New Roman" w:hAnsi="Times New Roman" w:cs="Times New Roman"/>
          <w:sz w:val="24"/>
          <w:szCs w:val="24"/>
        </w:rPr>
      </w:pPr>
      <w:r w:rsidRPr="00717369">
        <w:rPr>
          <w:rFonts w:ascii="Times New Roman" w:hAnsi="Times New Roman" w:cs="Times New Roman"/>
          <w:sz w:val="24"/>
          <w:szCs w:val="24"/>
        </w:rPr>
        <w:t xml:space="preserve">This is my pleasure to submit the study report on </w:t>
      </w:r>
      <w:r w:rsidR="00422021" w:rsidRPr="00422021">
        <w:rPr>
          <w:rFonts w:ascii="Times New Roman" w:hAnsi="Times New Roman" w:cs="Times New Roman"/>
          <w:b/>
          <w:sz w:val="24"/>
          <w:szCs w:val="24"/>
        </w:rPr>
        <w:t>Contribution of Bank for Green Economy through Green Finance Mechanism – Evidence from Bangladesh</w:t>
      </w:r>
      <w:r w:rsidRPr="00717369">
        <w:rPr>
          <w:rFonts w:ascii="Times New Roman" w:hAnsi="Times New Roman" w:cs="Times New Roman"/>
          <w:bCs/>
          <w:sz w:val="24"/>
          <w:szCs w:val="24"/>
        </w:rPr>
        <w:t xml:space="preserve">, </w:t>
      </w:r>
      <w:r w:rsidRPr="00717369">
        <w:rPr>
          <w:rFonts w:ascii="Times New Roman" w:hAnsi="Times New Roman" w:cs="Times New Roman"/>
          <w:sz w:val="24"/>
          <w:szCs w:val="24"/>
        </w:rPr>
        <w:t>which I was assigned. This is a great chance for me to acquire knowledge and experience in respect of performing this report.</w:t>
      </w:r>
    </w:p>
    <w:p w:rsidR="00536FE9" w:rsidRDefault="00E05CA5" w:rsidP="00C77AED">
      <w:pPr>
        <w:tabs>
          <w:tab w:val="left" w:pos="2450"/>
        </w:tabs>
        <w:spacing w:after="0"/>
        <w:jc w:val="both"/>
        <w:rPr>
          <w:rFonts w:ascii="Times New Roman" w:hAnsi="Times New Roman" w:cs="Times New Roman"/>
          <w:sz w:val="24"/>
        </w:rPr>
      </w:pPr>
      <w:r>
        <w:rPr>
          <w:rFonts w:ascii="Times New Roman" w:hAnsi="Times New Roman" w:cs="Times New Roman"/>
          <w:sz w:val="24"/>
        </w:rPr>
        <w:t>This is assigned to me as partial requirement for the competition of BBA program. Throughout the study I have tried with the best of my capacity to accommodate as much information and relevant issues as possible and tried to follow the instructions you have suggested. I tried my best to make this report as much informative</w:t>
      </w:r>
      <w:r w:rsidR="00536FE9">
        <w:rPr>
          <w:rFonts w:ascii="Times New Roman" w:hAnsi="Times New Roman" w:cs="Times New Roman"/>
          <w:sz w:val="24"/>
        </w:rPr>
        <w:t xml:space="preserve"> as possible. I sincerely believe that it will satisfy your requirements. However sincerely I believe that this report will serve the purpose of my project submissi</w:t>
      </w:r>
      <w:r w:rsidR="007D3851">
        <w:rPr>
          <w:rFonts w:ascii="Times New Roman" w:hAnsi="Times New Roman" w:cs="Times New Roman"/>
          <w:sz w:val="24"/>
        </w:rPr>
        <w:t xml:space="preserve">on </w:t>
      </w:r>
      <w:r w:rsidR="00536FE9">
        <w:rPr>
          <w:rFonts w:ascii="Times New Roman" w:hAnsi="Times New Roman" w:cs="Times New Roman"/>
          <w:sz w:val="24"/>
        </w:rPr>
        <w:t>program.</w:t>
      </w:r>
    </w:p>
    <w:p w:rsidR="00717369" w:rsidRPr="00102A85" w:rsidRDefault="00717369" w:rsidP="00C77AED">
      <w:pPr>
        <w:pStyle w:val="BodyText"/>
        <w:spacing w:after="0" w:line="276" w:lineRule="auto"/>
        <w:rPr>
          <w:sz w:val="24"/>
        </w:rPr>
      </w:pPr>
      <w:r w:rsidRPr="00102A85">
        <w:rPr>
          <w:sz w:val="24"/>
        </w:rPr>
        <w:t>I gave my best efforts t</w:t>
      </w:r>
      <w:r>
        <w:rPr>
          <w:sz w:val="24"/>
        </w:rPr>
        <w:t xml:space="preserve">o achieve the objectives of this report </w:t>
      </w:r>
      <w:r w:rsidRPr="00102A85">
        <w:rPr>
          <w:sz w:val="24"/>
        </w:rPr>
        <w:t>and hope that my endeavor will serve the purpose. Besides, I have followed your remarks and instructions very carefully while preparing this report. I tried the best to maintain your schedule, format and discipline.</w:t>
      </w:r>
    </w:p>
    <w:p w:rsidR="00717369" w:rsidRDefault="00717369" w:rsidP="00C77AED">
      <w:pPr>
        <w:pStyle w:val="BodyText"/>
        <w:spacing w:after="0" w:line="276" w:lineRule="auto"/>
        <w:rPr>
          <w:sz w:val="24"/>
        </w:rPr>
      </w:pPr>
      <w:r w:rsidRPr="00102A85">
        <w:rPr>
          <w:sz w:val="24"/>
        </w:rPr>
        <w:t>Thank you for your kind consideration.</w:t>
      </w:r>
    </w:p>
    <w:p w:rsidR="00717369" w:rsidRDefault="00717369" w:rsidP="00C77AED">
      <w:pPr>
        <w:pStyle w:val="BodyText"/>
        <w:spacing w:after="0" w:line="276" w:lineRule="auto"/>
        <w:rPr>
          <w:sz w:val="24"/>
        </w:rPr>
      </w:pPr>
      <w:r>
        <w:rPr>
          <w:sz w:val="24"/>
        </w:rPr>
        <w:t xml:space="preserve">Sincerely yours </w:t>
      </w:r>
    </w:p>
    <w:p w:rsidR="00717369" w:rsidRPr="00102A85" w:rsidRDefault="00717369" w:rsidP="00717369">
      <w:pPr>
        <w:pStyle w:val="BodyText"/>
        <w:spacing w:after="0" w:line="276" w:lineRule="auto"/>
        <w:rPr>
          <w:sz w:val="24"/>
        </w:rPr>
      </w:pPr>
    </w:p>
    <w:p w:rsidR="00536FE9" w:rsidRDefault="00536FE9" w:rsidP="00E05CA5">
      <w:pPr>
        <w:tabs>
          <w:tab w:val="left" w:pos="2450"/>
        </w:tabs>
        <w:jc w:val="both"/>
        <w:rPr>
          <w:rFonts w:ascii="Times New Roman" w:hAnsi="Times New Roman" w:cs="Times New Roman"/>
          <w:sz w:val="24"/>
        </w:rPr>
      </w:pPr>
    </w:p>
    <w:p w:rsidR="007760E2" w:rsidRDefault="007760E2" w:rsidP="00C77AED">
      <w:pPr>
        <w:tabs>
          <w:tab w:val="left" w:pos="2450"/>
        </w:tabs>
        <w:spacing w:after="0"/>
        <w:jc w:val="both"/>
        <w:rPr>
          <w:rFonts w:ascii="Times New Roman" w:hAnsi="Times New Roman" w:cs="Times New Roman"/>
          <w:sz w:val="24"/>
        </w:rPr>
      </w:pPr>
    </w:p>
    <w:p w:rsidR="007760E2" w:rsidRDefault="00B8592C" w:rsidP="00C77AED">
      <w:pPr>
        <w:tabs>
          <w:tab w:val="left" w:pos="2450"/>
        </w:tabs>
        <w:spacing w:after="0"/>
        <w:jc w:val="both"/>
        <w:rPr>
          <w:rFonts w:ascii="Times New Roman" w:hAnsi="Times New Roman" w:cs="Times New Roman"/>
          <w:sz w:val="24"/>
        </w:rPr>
      </w:pPr>
      <w:r>
        <w:rPr>
          <w:rFonts w:ascii="Times New Roman" w:hAnsi="Times New Roman" w:cs="Times New Roman"/>
          <w:noProof/>
          <w:sz w:val="24"/>
          <w:lang w:bidi="bn-BD"/>
        </w:rPr>
        <w:pict>
          <v:shapetype id="_x0000_t32" coordsize="21600,21600" o:spt="32" o:oned="t" path="m,l21600,21600e" filled="f">
            <v:path arrowok="t" fillok="f" o:connecttype="none"/>
            <o:lock v:ext="edit" shapetype="t"/>
          </v:shapetype>
          <v:shape id="_x0000_s1026" type="#_x0000_t32" style="position:absolute;left:0;text-align:left;margin-left:.75pt;margin-top:11.95pt;width:127.5pt;height:0;z-index:251658240" o:connectortype="straight"/>
        </w:pict>
      </w:r>
    </w:p>
    <w:p w:rsidR="00536FE9" w:rsidRDefault="00536FE9" w:rsidP="00C77AED">
      <w:pPr>
        <w:tabs>
          <w:tab w:val="left" w:pos="2450"/>
        </w:tabs>
        <w:spacing w:after="0"/>
        <w:jc w:val="both"/>
        <w:rPr>
          <w:rFonts w:ascii="Times New Roman" w:hAnsi="Times New Roman" w:cs="Times New Roman"/>
          <w:sz w:val="24"/>
        </w:rPr>
      </w:pPr>
      <w:r>
        <w:rPr>
          <w:rFonts w:ascii="Times New Roman" w:hAnsi="Times New Roman" w:cs="Times New Roman"/>
          <w:sz w:val="24"/>
        </w:rPr>
        <w:t xml:space="preserve">Md. </w:t>
      </w:r>
      <w:proofErr w:type="spellStart"/>
      <w:r>
        <w:rPr>
          <w:rFonts w:ascii="Times New Roman" w:hAnsi="Times New Roman" w:cs="Times New Roman"/>
          <w:sz w:val="24"/>
        </w:rPr>
        <w:t>Farhad</w:t>
      </w:r>
      <w:proofErr w:type="spellEnd"/>
      <w:r w:rsidR="009F50E8">
        <w:rPr>
          <w:rFonts w:ascii="Times New Roman" w:hAnsi="Times New Roman" w:cs="Times New Roman"/>
          <w:sz w:val="24"/>
        </w:rPr>
        <w:t xml:space="preserve"> </w:t>
      </w:r>
      <w:proofErr w:type="spellStart"/>
      <w:r>
        <w:rPr>
          <w:rFonts w:ascii="Times New Roman" w:hAnsi="Times New Roman" w:cs="Times New Roman"/>
          <w:sz w:val="24"/>
        </w:rPr>
        <w:t>Hossain</w:t>
      </w:r>
      <w:proofErr w:type="spellEnd"/>
    </w:p>
    <w:p w:rsidR="00536FE9" w:rsidRDefault="00536FE9" w:rsidP="00C77AED">
      <w:pPr>
        <w:tabs>
          <w:tab w:val="left" w:pos="2450"/>
        </w:tabs>
        <w:spacing w:after="0"/>
        <w:jc w:val="both"/>
        <w:rPr>
          <w:rFonts w:ascii="Times New Roman" w:hAnsi="Times New Roman" w:cs="Times New Roman"/>
          <w:sz w:val="24"/>
        </w:rPr>
      </w:pPr>
      <w:r>
        <w:rPr>
          <w:rFonts w:ascii="Times New Roman" w:hAnsi="Times New Roman" w:cs="Times New Roman"/>
          <w:sz w:val="24"/>
        </w:rPr>
        <w:t>Roll No: 1172412</w:t>
      </w:r>
    </w:p>
    <w:p w:rsidR="00536FE9" w:rsidRDefault="00536FE9" w:rsidP="00C77AED">
      <w:pPr>
        <w:tabs>
          <w:tab w:val="left" w:pos="2450"/>
        </w:tabs>
        <w:spacing w:after="0"/>
        <w:jc w:val="both"/>
        <w:rPr>
          <w:rFonts w:ascii="Times New Roman" w:hAnsi="Times New Roman" w:cs="Times New Roman"/>
          <w:sz w:val="24"/>
        </w:rPr>
      </w:pPr>
      <w:r>
        <w:rPr>
          <w:rFonts w:ascii="Times New Roman" w:hAnsi="Times New Roman" w:cs="Times New Roman"/>
          <w:sz w:val="24"/>
        </w:rPr>
        <w:t>Registration No: 1177080</w:t>
      </w:r>
    </w:p>
    <w:p w:rsidR="00C77AED" w:rsidRDefault="00C77AED" w:rsidP="00C77AED">
      <w:pPr>
        <w:tabs>
          <w:tab w:val="left" w:pos="2450"/>
        </w:tabs>
        <w:spacing w:after="0"/>
        <w:jc w:val="both"/>
        <w:rPr>
          <w:rFonts w:ascii="Times New Roman" w:hAnsi="Times New Roman" w:cs="Times New Roman"/>
          <w:sz w:val="24"/>
        </w:rPr>
      </w:pPr>
      <w:r>
        <w:rPr>
          <w:rFonts w:ascii="Times New Roman" w:hAnsi="Times New Roman" w:cs="Times New Roman"/>
          <w:sz w:val="24"/>
        </w:rPr>
        <w:t xml:space="preserve">Session: 2010-2011 </w:t>
      </w:r>
    </w:p>
    <w:p w:rsidR="00C77AED" w:rsidRDefault="00C77AED" w:rsidP="00C77AED">
      <w:pPr>
        <w:tabs>
          <w:tab w:val="left" w:pos="2450"/>
        </w:tabs>
        <w:spacing w:after="0"/>
        <w:jc w:val="both"/>
        <w:rPr>
          <w:rFonts w:ascii="Times New Roman" w:hAnsi="Times New Roman" w:cs="Times New Roman"/>
          <w:sz w:val="24"/>
        </w:rPr>
      </w:pPr>
      <w:r>
        <w:rPr>
          <w:rFonts w:ascii="Times New Roman" w:hAnsi="Times New Roman" w:cs="Times New Roman"/>
          <w:sz w:val="24"/>
        </w:rPr>
        <w:t>Program BBA</w:t>
      </w:r>
    </w:p>
    <w:p w:rsidR="00536FE9" w:rsidRDefault="00536FE9" w:rsidP="00C77AED">
      <w:pPr>
        <w:tabs>
          <w:tab w:val="left" w:pos="2450"/>
        </w:tabs>
        <w:spacing w:after="0"/>
        <w:jc w:val="both"/>
        <w:rPr>
          <w:rFonts w:ascii="Times New Roman" w:hAnsi="Times New Roman" w:cs="Times New Roman"/>
          <w:sz w:val="24"/>
        </w:rPr>
      </w:pPr>
      <w:r>
        <w:rPr>
          <w:rFonts w:ascii="Times New Roman" w:hAnsi="Times New Roman" w:cs="Times New Roman"/>
          <w:sz w:val="24"/>
        </w:rPr>
        <w:t xml:space="preserve">Major in Finance </w:t>
      </w:r>
    </w:p>
    <w:p w:rsidR="00C77AED" w:rsidRDefault="00C77AED" w:rsidP="00C77AED">
      <w:pPr>
        <w:tabs>
          <w:tab w:val="left" w:pos="2450"/>
        </w:tabs>
        <w:spacing w:after="0"/>
        <w:jc w:val="both"/>
        <w:rPr>
          <w:rFonts w:ascii="Times New Roman" w:hAnsi="Times New Roman" w:cs="Times New Roman"/>
          <w:sz w:val="24"/>
        </w:rPr>
      </w:pPr>
      <w:r>
        <w:rPr>
          <w:rFonts w:ascii="Times New Roman" w:hAnsi="Times New Roman" w:cs="Times New Roman"/>
          <w:sz w:val="24"/>
        </w:rPr>
        <w:t>Daffodil Institute of IT (DIIT)</w:t>
      </w:r>
    </w:p>
    <w:p w:rsidR="00CF7225" w:rsidRDefault="00C77AED" w:rsidP="00CF7225">
      <w:pPr>
        <w:tabs>
          <w:tab w:val="left" w:pos="2450"/>
        </w:tabs>
        <w:spacing w:after="0"/>
        <w:jc w:val="both"/>
        <w:rPr>
          <w:rFonts w:ascii="Times New Roman" w:hAnsi="Times New Roman" w:cs="Times New Roman"/>
          <w:sz w:val="24"/>
        </w:rPr>
      </w:pPr>
      <w:r>
        <w:rPr>
          <w:rFonts w:ascii="Times New Roman" w:hAnsi="Times New Roman" w:cs="Times New Roman"/>
          <w:sz w:val="24"/>
        </w:rPr>
        <w:t>National University</w:t>
      </w:r>
    </w:p>
    <w:p w:rsidR="009C5526" w:rsidRDefault="009C5526" w:rsidP="00CF7225">
      <w:pPr>
        <w:tabs>
          <w:tab w:val="left" w:pos="2450"/>
        </w:tabs>
        <w:spacing w:after="0"/>
        <w:jc w:val="center"/>
        <w:rPr>
          <w:rFonts w:ascii="Times New Roman" w:hAnsi="Times New Roman" w:cs="Times New Roman"/>
          <w:b/>
          <w:color w:val="FF00FF"/>
          <w:sz w:val="32"/>
          <w:u w:val="thick"/>
        </w:rPr>
      </w:pPr>
    </w:p>
    <w:p w:rsidR="009C5526" w:rsidRDefault="009C5526" w:rsidP="00CF7225">
      <w:pPr>
        <w:tabs>
          <w:tab w:val="left" w:pos="2450"/>
        </w:tabs>
        <w:spacing w:after="0"/>
        <w:jc w:val="center"/>
        <w:rPr>
          <w:rFonts w:ascii="Times New Roman" w:hAnsi="Times New Roman" w:cs="Times New Roman"/>
          <w:b/>
          <w:color w:val="FF00FF"/>
          <w:sz w:val="32"/>
          <w:u w:val="thick"/>
        </w:rPr>
      </w:pPr>
    </w:p>
    <w:p w:rsidR="00C77AED" w:rsidRPr="009F50E8" w:rsidRDefault="00C77AED" w:rsidP="00CF7225">
      <w:pPr>
        <w:tabs>
          <w:tab w:val="left" w:pos="2450"/>
        </w:tabs>
        <w:spacing w:after="0"/>
        <w:jc w:val="center"/>
        <w:rPr>
          <w:rFonts w:ascii="Times New Roman" w:hAnsi="Times New Roman" w:cs="Times New Roman"/>
          <w:color w:val="FF00FF"/>
          <w:sz w:val="24"/>
        </w:rPr>
      </w:pPr>
      <w:r w:rsidRPr="009F50E8">
        <w:rPr>
          <w:rFonts w:ascii="Times New Roman" w:hAnsi="Times New Roman" w:cs="Times New Roman"/>
          <w:b/>
          <w:color w:val="FF00FF"/>
          <w:sz w:val="32"/>
          <w:u w:val="thick"/>
        </w:rPr>
        <w:lastRenderedPageBreak/>
        <w:t>Supervisor’s Declaration</w:t>
      </w:r>
    </w:p>
    <w:p w:rsidR="00C77AED" w:rsidRPr="00CE5D5F" w:rsidRDefault="00C77AED" w:rsidP="00C77AED">
      <w:pPr>
        <w:tabs>
          <w:tab w:val="left" w:pos="2450"/>
        </w:tabs>
        <w:spacing w:after="0"/>
        <w:jc w:val="center"/>
        <w:rPr>
          <w:rFonts w:ascii="Times New Roman" w:hAnsi="Times New Roman" w:cs="Times New Roman"/>
          <w:b/>
          <w:color w:val="7030A0"/>
          <w:sz w:val="28"/>
        </w:rPr>
      </w:pPr>
    </w:p>
    <w:p w:rsidR="00DA3660" w:rsidRDefault="008251C5" w:rsidP="00725FAA">
      <w:pPr>
        <w:tabs>
          <w:tab w:val="left" w:pos="2450"/>
        </w:tabs>
        <w:spacing w:line="360" w:lineRule="auto"/>
        <w:jc w:val="both"/>
        <w:rPr>
          <w:rFonts w:ascii="Times New Roman" w:hAnsi="Times New Roman" w:cs="Times New Roman"/>
          <w:sz w:val="24"/>
        </w:rPr>
      </w:pPr>
      <w:r>
        <w:rPr>
          <w:rFonts w:ascii="Times New Roman" w:hAnsi="Times New Roman" w:cs="Times New Roman"/>
          <w:sz w:val="24"/>
        </w:rPr>
        <w:t xml:space="preserve">This is to certify that, Md. </w:t>
      </w:r>
      <w:proofErr w:type="spellStart"/>
      <w:r w:rsidR="00DA3660">
        <w:rPr>
          <w:rFonts w:ascii="Times New Roman" w:hAnsi="Times New Roman" w:cs="Times New Roman"/>
          <w:sz w:val="24"/>
        </w:rPr>
        <w:t>Farhad</w:t>
      </w:r>
      <w:proofErr w:type="spellEnd"/>
      <w:r w:rsidR="009F50E8">
        <w:rPr>
          <w:rFonts w:ascii="Times New Roman" w:hAnsi="Times New Roman" w:cs="Times New Roman"/>
          <w:sz w:val="24"/>
        </w:rPr>
        <w:t xml:space="preserve"> </w:t>
      </w:r>
      <w:proofErr w:type="spellStart"/>
      <w:r w:rsidR="00DA3660">
        <w:rPr>
          <w:rFonts w:ascii="Times New Roman" w:hAnsi="Times New Roman" w:cs="Times New Roman"/>
          <w:sz w:val="24"/>
        </w:rPr>
        <w:t>Hossain</w:t>
      </w:r>
      <w:proofErr w:type="spellEnd"/>
      <w:r w:rsidR="00DA3660">
        <w:rPr>
          <w:rFonts w:ascii="Times New Roman" w:hAnsi="Times New Roman" w:cs="Times New Roman"/>
          <w:sz w:val="24"/>
        </w:rPr>
        <w:t xml:space="preserve">, Student of </w:t>
      </w:r>
      <w:r w:rsidR="00C77AED">
        <w:rPr>
          <w:rFonts w:ascii="Times New Roman" w:hAnsi="Times New Roman" w:cs="Times New Roman"/>
          <w:sz w:val="24"/>
        </w:rPr>
        <w:t>Bachelor of Business Administration (BBA)</w:t>
      </w:r>
      <w:proofErr w:type="gramStart"/>
      <w:r w:rsidR="00DA3660">
        <w:rPr>
          <w:rFonts w:ascii="Times New Roman" w:hAnsi="Times New Roman" w:cs="Times New Roman"/>
          <w:sz w:val="24"/>
        </w:rPr>
        <w:t>,</w:t>
      </w:r>
      <w:proofErr w:type="gramEnd"/>
      <w:r w:rsidR="00C77AED">
        <w:rPr>
          <w:rFonts w:ascii="Times New Roman" w:hAnsi="Times New Roman" w:cs="Times New Roman"/>
          <w:sz w:val="24"/>
        </w:rPr>
        <w:t xml:space="preserve"> major in Finance of Daffodil Institute of IT (DIIT) has completed this Internal Study Report on </w:t>
      </w:r>
      <w:r w:rsidR="00422021" w:rsidRPr="00422021">
        <w:rPr>
          <w:rFonts w:ascii="Times New Roman" w:hAnsi="Times New Roman" w:cs="Times New Roman"/>
          <w:b/>
          <w:sz w:val="24"/>
          <w:szCs w:val="24"/>
        </w:rPr>
        <w:t>Contribution of Bank for Green Economy through Green Finance Mechanism – Evidence from Bangladesh</w:t>
      </w:r>
      <w:r w:rsidR="00422021">
        <w:rPr>
          <w:rFonts w:ascii="Times New Roman" w:hAnsi="Times New Roman" w:cs="Times New Roman"/>
          <w:b/>
          <w:sz w:val="24"/>
          <w:szCs w:val="24"/>
        </w:rPr>
        <w:t>.</w:t>
      </w:r>
      <w:r>
        <w:rPr>
          <w:rFonts w:ascii="Times New Roman" w:hAnsi="Times New Roman" w:cs="Times New Roman"/>
          <w:b/>
          <w:sz w:val="24"/>
          <w:szCs w:val="24"/>
        </w:rPr>
        <w:t xml:space="preserve"> </w:t>
      </w:r>
      <w:r w:rsidR="008A60F4">
        <w:rPr>
          <w:rFonts w:ascii="Times New Roman" w:hAnsi="Times New Roman" w:cs="Times New Roman"/>
          <w:sz w:val="24"/>
        </w:rPr>
        <w:t>He has completed this project satisfactorily under my supervision as he partial fulfillment for the award of BBA degree.</w:t>
      </w:r>
    </w:p>
    <w:p w:rsidR="008A60F4" w:rsidRDefault="008A60F4" w:rsidP="00725FAA">
      <w:pPr>
        <w:tabs>
          <w:tab w:val="left" w:pos="2450"/>
        </w:tabs>
        <w:spacing w:line="360" w:lineRule="auto"/>
        <w:jc w:val="both"/>
        <w:rPr>
          <w:rFonts w:ascii="Times New Roman" w:hAnsi="Times New Roman" w:cs="Times New Roman"/>
          <w:sz w:val="24"/>
        </w:rPr>
      </w:pPr>
      <w:r>
        <w:rPr>
          <w:rFonts w:ascii="Times New Roman" w:hAnsi="Times New Roman" w:cs="Times New Roman"/>
          <w:sz w:val="24"/>
        </w:rPr>
        <w:t>He has done his job according to my supervision and guidance. He has tried his best to do this successfully. I think his study will help him in future to up build his career.</w:t>
      </w:r>
    </w:p>
    <w:p w:rsidR="008A60F4" w:rsidRDefault="008A60F4" w:rsidP="00725FAA">
      <w:pPr>
        <w:tabs>
          <w:tab w:val="left" w:pos="2450"/>
        </w:tabs>
        <w:spacing w:line="360" w:lineRule="auto"/>
        <w:jc w:val="both"/>
        <w:rPr>
          <w:rFonts w:ascii="Times New Roman" w:hAnsi="Times New Roman" w:cs="Times New Roman"/>
          <w:sz w:val="24"/>
        </w:rPr>
      </w:pPr>
      <w:r>
        <w:rPr>
          <w:rFonts w:ascii="Times New Roman" w:hAnsi="Times New Roman" w:cs="Times New Roman"/>
          <w:sz w:val="24"/>
        </w:rPr>
        <w:t>I wish him every success in life.</w:t>
      </w:r>
    </w:p>
    <w:p w:rsidR="008A60F4" w:rsidRDefault="008A60F4" w:rsidP="00DA3660">
      <w:pPr>
        <w:tabs>
          <w:tab w:val="left" w:pos="2450"/>
        </w:tabs>
        <w:jc w:val="both"/>
        <w:rPr>
          <w:rFonts w:ascii="Times New Roman" w:hAnsi="Times New Roman" w:cs="Times New Roman"/>
          <w:sz w:val="24"/>
        </w:rPr>
      </w:pPr>
    </w:p>
    <w:p w:rsidR="008A60F4" w:rsidRDefault="008A60F4" w:rsidP="00DA3660">
      <w:pPr>
        <w:tabs>
          <w:tab w:val="left" w:pos="2450"/>
        </w:tabs>
        <w:jc w:val="both"/>
        <w:rPr>
          <w:rFonts w:ascii="Times New Roman" w:hAnsi="Times New Roman" w:cs="Times New Roman"/>
          <w:sz w:val="24"/>
        </w:rPr>
      </w:pPr>
    </w:p>
    <w:p w:rsidR="008A60F4" w:rsidRDefault="008A60F4" w:rsidP="00DA3660">
      <w:pPr>
        <w:tabs>
          <w:tab w:val="left" w:pos="2450"/>
        </w:tabs>
        <w:jc w:val="both"/>
        <w:rPr>
          <w:rFonts w:ascii="Times New Roman" w:hAnsi="Times New Roman" w:cs="Times New Roman"/>
          <w:sz w:val="24"/>
        </w:rPr>
      </w:pPr>
    </w:p>
    <w:p w:rsidR="008A60F4" w:rsidRDefault="008A60F4" w:rsidP="00DA3660">
      <w:pPr>
        <w:tabs>
          <w:tab w:val="left" w:pos="2450"/>
        </w:tabs>
        <w:jc w:val="both"/>
        <w:rPr>
          <w:rFonts w:ascii="Times New Roman" w:hAnsi="Times New Roman" w:cs="Times New Roman"/>
          <w:sz w:val="24"/>
        </w:rPr>
      </w:pPr>
    </w:p>
    <w:p w:rsidR="008A60F4" w:rsidRDefault="008A60F4" w:rsidP="00DA3660">
      <w:pPr>
        <w:tabs>
          <w:tab w:val="left" w:pos="2450"/>
        </w:tabs>
        <w:jc w:val="both"/>
        <w:rPr>
          <w:rFonts w:ascii="Times New Roman" w:hAnsi="Times New Roman" w:cs="Times New Roman"/>
          <w:sz w:val="24"/>
        </w:rPr>
      </w:pPr>
    </w:p>
    <w:p w:rsidR="008A60F4" w:rsidRDefault="008A60F4" w:rsidP="00DA3660">
      <w:pPr>
        <w:tabs>
          <w:tab w:val="left" w:pos="2450"/>
        </w:tabs>
        <w:jc w:val="both"/>
        <w:rPr>
          <w:rFonts w:ascii="Times New Roman" w:hAnsi="Times New Roman" w:cs="Times New Roman"/>
          <w:sz w:val="24"/>
        </w:rPr>
      </w:pPr>
    </w:p>
    <w:p w:rsidR="008A60F4" w:rsidRDefault="008A60F4" w:rsidP="00DA3660">
      <w:pPr>
        <w:tabs>
          <w:tab w:val="left" w:pos="2450"/>
        </w:tabs>
        <w:jc w:val="both"/>
        <w:rPr>
          <w:rFonts w:ascii="Times New Roman" w:hAnsi="Times New Roman" w:cs="Times New Roman"/>
          <w:sz w:val="24"/>
        </w:rPr>
      </w:pPr>
    </w:p>
    <w:p w:rsidR="008A60F4" w:rsidRDefault="008A60F4" w:rsidP="00DA3660">
      <w:pPr>
        <w:tabs>
          <w:tab w:val="left" w:pos="2450"/>
        </w:tabs>
        <w:jc w:val="both"/>
        <w:rPr>
          <w:rFonts w:ascii="Times New Roman" w:hAnsi="Times New Roman" w:cs="Times New Roman"/>
          <w:sz w:val="24"/>
        </w:rPr>
      </w:pPr>
    </w:p>
    <w:p w:rsidR="008A60F4" w:rsidRDefault="008A60F4" w:rsidP="00DA3660">
      <w:pPr>
        <w:tabs>
          <w:tab w:val="left" w:pos="2450"/>
        </w:tabs>
        <w:jc w:val="both"/>
        <w:rPr>
          <w:rFonts w:ascii="Times New Roman" w:hAnsi="Times New Roman" w:cs="Times New Roman"/>
          <w:sz w:val="24"/>
        </w:rPr>
      </w:pPr>
    </w:p>
    <w:p w:rsidR="008A60F4" w:rsidRDefault="008A60F4" w:rsidP="00DA3660">
      <w:pPr>
        <w:tabs>
          <w:tab w:val="left" w:pos="2450"/>
        </w:tabs>
        <w:jc w:val="both"/>
        <w:rPr>
          <w:rFonts w:ascii="Times New Roman" w:hAnsi="Times New Roman" w:cs="Times New Roman"/>
          <w:sz w:val="24"/>
        </w:rPr>
      </w:pPr>
    </w:p>
    <w:p w:rsidR="008A60F4" w:rsidRDefault="008A60F4" w:rsidP="00DA3660">
      <w:pPr>
        <w:tabs>
          <w:tab w:val="left" w:pos="2450"/>
        </w:tabs>
        <w:jc w:val="both"/>
        <w:rPr>
          <w:rFonts w:ascii="Times New Roman" w:hAnsi="Times New Roman" w:cs="Times New Roman"/>
          <w:sz w:val="24"/>
        </w:rPr>
      </w:pPr>
      <w:r>
        <w:rPr>
          <w:rFonts w:ascii="Times New Roman" w:hAnsi="Times New Roman" w:cs="Times New Roman"/>
          <w:sz w:val="24"/>
        </w:rPr>
        <w:t>………………………………………..</w:t>
      </w:r>
    </w:p>
    <w:p w:rsidR="008A60F4" w:rsidRDefault="008A60F4" w:rsidP="00725FAA">
      <w:pPr>
        <w:tabs>
          <w:tab w:val="left" w:pos="2450"/>
        </w:tabs>
        <w:spacing w:after="0" w:line="240" w:lineRule="auto"/>
        <w:jc w:val="both"/>
        <w:rPr>
          <w:rFonts w:ascii="Times New Roman" w:hAnsi="Times New Roman" w:cs="Times New Roman"/>
          <w:sz w:val="24"/>
        </w:rPr>
      </w:pPr>
      <w:proofErr w:type="spellStart"/>
      <w:r>
        <w:rPr>
          <w:rFonts w:ascii="Times New Roman" w:hAnsi="Times New Roman" w:cs="Times New Roman"/>
          <w:sz w:val="24"/>
        </w:rPr>
        <w:t>Aminul</w:t>
      </w:r>
      <w:proofErr w:type="spellEnd"/>
      <w:r w:rsidR="009F50E8">
        <w:rPr>
          <w:rFonts w:ascii="Times New Roman" w:hAnsi="Times New Roman" w:cs="Times New Roman"/>
          <w:sz w:val="24"/>
        </w:rPr>
        <w:t xml:space="preserve"> </w:t>
      </w:r>
      <w:proofErr w:type="spellStart"/>
      <w:r>
        <w:rPr>
          <w:rFonts w:ascii="Times New Roman" w:hAnsi="Times New Roman" w:cs="Times New Roman"/>
          <w:sz w:val="24"/>
        </w:rPr>
        <w:t>Haque</w:t>
      </w:r>
      <w:proofErr w:type="spellEnd"/>
      <w:r w:rsidR="009F50E8">
        <w:rPr>
          <w:rFonts w:ascii="Times New Roman" w:hAnsi="Times New Roman" w:cs="Times New Roman"/>
          <w:sz w:val="24"/>
        </w:rPr>
        <w:t xml:space="preserve"> </w:t>
      </w:r>
      <w:proofErr w:type="spellStart"/>
      <w:r>
        <w:rPr>
          <w:rFonts w:ascii="Times New Roman" w:hAnsi="Times New Roman" w:cs="Times New Roman"/>
          <w:sz w:val="24"/>
        </w:rPr>
        <w:t>Russel</w:t>
      </w:r>
      <w:proofErr w:type="spellEnd"/>
    </w:p>
    <w:p w:rsidR="008A60F4" w:rsidRDefault="008A60F4" w:rsidP="00725FAA">
      <w:pPr>
        <w:tabs>
          <w:tab w:val="left" w:pos="2450"/>
        </w:tabs>
        <w:spacing w:after="0" w:line="240" w:lineRule="auto"/>
        <w:jc w:val="both"/>
        <w:rPr>
          <w:rFonts w:ascii="Times New Roman" w:hAnsi="Times New Roman" w:cs="Times New Roman"/>
          <w:sz w:val="24"/>
        </w:rPr>
      </w:pPr>
      <w:r>
        <w:rPr>
          <w:rFonts w:ascii="Times New Roman" w:hAnsi="Times New Roman" w:cs="Times New Roman"/>
          <w:sz w:val="24"/>
        </w:rPr>
        <w:t xml:space="preserve">Lecturer </w:t>
      </w:r>
    </w:p>
    <w:p w:rsidR="00C77AED" w:rsidRDefault="00725FAA" w:rsidP="00725FAA">
      <w:pPr>
        <w:tabs>
          <w:tab w:val="left" w:pos="2450"/>
        </w:tabs>
        <w:spacing w:after="0" w:line="240" w:lineRule="auto"/>
        <w:jc w:val="both"/>
        <w:rPr>
          <w:rFonts w:ascii="Times New Roman" w:hAnsi="Times New Roman" w:cs="Times New Roman"/>
          <w:sz w:val="24"/>
        </w:rPr>
      </w:pPr>
      <w:r>
        <w:rPr>
          <w:rFonts w:ascii="Times New Roman" w:hAnsi="Times New Roman" w:cs="Times New Roman"/>
          <w:sz w:val="24"/>
        </w:rPr>
        <w:t>Department of Business Administration</w:t>
      </w:r>
    </w:p>
    <w:p w:rsidR="008A60F4" w:rsidRDefault="008A60F4" w:rsidP="00725FAA">
      <w:pPr>
        <w:tabs>
          <w:tab w:val="left" w:pos="2450"/>
        </w:tabs>
        <w:spacing w:after="0" w:line="240" w:lineRule="auto"/>
        <w:jc w:val="both"/>
        <w:rPr>
          <w:rFonts w:ascii="Times New Roman" w:hAnsi="Times New Roman" w:cs="Times New Roman"/>
          <w:sz w:val="24"/>
        </w:rPr>
      </w:pPr>
      <w:r>
        <w:rPr>
          <w:rFonts w:ascii="Times New Roman" w:hAnsi="Times New Roman" w:cs="Times New Roman"/>
          <w:sz w:val="24"/>
        </w:rPr>
        <w:t>Daffodil Institute of IT (DIIT)</w:t>
      </w:r>
    </w:p>
    <w:p w:rsidR="00CE5D5F" w:rsidRDefault="00CE5D5F" w:rsidP="00DA3660">
      <w:pPr>
        <w:tabs>
          <w:tab w:val="left" w:pos="2450"/>
        </w:tabs>
        <w:jc w:val="both"/>
        <w:rPr>
          <w:rFonts w:ascii="Times New Roman" w:hAnsi="Times New Roman" w:cs="Times New Roman"/>
          <w:sz w:val="24"/>
        </w:rPr>
      </w:pPr>
    </w:p>
    <w:p w:rsidR="00CE5D5F" w:rsidRDefault="00CE5D5F" w:rsidP="00DA3660">
      <w:pPr>
        <w:tabs>
          <w:tab w:val="left" w:pos="2450"/>
        </w:tabs>
        <w:jc w:val="both"/>
        <w:rPr>
          <w:rFonts w:ascii="Times New Roman" w:hAnsi="Times New Roman" w:cs="Times New Roman"/>
          <w:sz w:val="24"/>
        </w:rPr>
      </w:pPr>
    </w:p>
    <w:p w:rsidR="00725FAA" w:rsidRDefault="00725FAA" w:rsidP="00DA3660">
      <w:pPr>
        <w:tabs>
          <w:tab w:val="left" w:pos="2450"/>
        </w:tabs>
        <w:jc w:val="both"/>
        <w:rPr>
          <w:rFonts w:ascii="Times New Roman" w:hAnsi="Times New Roman" w:cs="Times New Roman"/>
          <w:sz w:val="24"/>
        </w:rPr>
      </w:pPr>
    </w:p>
    <w:p w:rsidR="009C5526" w:rsidRDefault="009C5526" w:rsidP="00CF7225">
      <w:pPr>
        <w:jc w:val="center"/>
        <w:rPr>
          <w:rFonts w:ascii="Times New Roman" w:hAnsi="Times New Roman" w:cs="Times New Roman"/>
          <w:b/>
          <w:color w:val="FF00FF"/>
          <w:sz w:val="32"/>
          <w:szCs w:val="40"/>
          <w:u w:val="single"/>
        </w:rPr>
      </w:pPr>
    </w:p>
    <w:p w:rsidR="00F22DE4" w:rsidRPr="009F50E8" w:rsidRDefault="00F22DE4" w:rsidP="00CF7225">
      <w:pPr>
        <w:jc w:val="center"/>
        <w:rPr>
          <w:rFonts w:ascii="Times New Roman" w:hAnsi="Times New Roman" w:cs="Times New Roman"/>
          <w:b/>
          <w:color w:val="FF00FF"/>
          <w:sz w:val="32"/>
          <w:szCs w:val="40"/>
          <w:u w:val="single"/>
        </w:rPr>
      </w:pPr>
      <w:r w:rsidRPr="009F50E8">
        <w:rPr>
          <w:rFonts w:ascii="Times New Roman" w:hAnsi="Times New Roman" w:cs="Times New Roman"/>
          <w:b/>
          <w:color w:val="FF00FF"/>
          <w:sz w:val="32"/>
          <w:szCs w:val="40"/>
          <w:u w:val="single"/>
        </w:rPr>
        <w:lastRenderedPageBreak/>
        <w:t>Student’s Declaration</w:t>
      </w:r>
    </w:p>
    <w:p w:rsidR="00CE5D5F" w:rsidRDefault="00CE5D5F" w:rsidP="0059552D">
      <w:pPr>
        <w:tabs>
          <w:tab w:val="left" w:pos="2450"/>
        </w:tabs>
        <w:spacing w:line="360" w:lineRule="auto"/>
        <w:jc w:val="both"/>
        <w:rPr>
          <w:rFonts w:ascii="Times New Roman" w:hAnsi="Times New Roman" w:cs="Times New Roman"/>
          <w:sz w:val="24"/>
        </w:rPr>
      </w:pPr>
      <w:r>
        <w:rPr>
          <w:rFonts w:ascii="Times New Roman" w:hAnsi="Times New Roman" w:cs="Times New Roman"/>
          <w:sz w:val="24"/>
        </w:rPr>
        <w:t xml:space="preserve">I hereby declare that the Study Report on </w:t>
      </w:r>
      <w:r w:rsidR="00CF7A1B" w:rsidRPr="00422021">
        <w:rPr>
          <w:rFonts w:ascii="Times New Roman" w:hAnsi="Times New Roman" w:cs="Times New Roman"/>
          <w:b/>
          <w:sz w:val="24"/>
          <w:szCs w:val="24"/>
        </w:rPr>
        <w:t>Contribution of Bank for Green Economy through Green Finance Mechanism – Evidence from Bangladesh</w:t>
      </w:r>
      <w:r w:rsidR="008251C5">
        <w:rPr>
          <w:rFonts w:ascii="Times New Roman" w:hAnsi="Times New Roman" w:cs="Times New Roman"/>
          <w:b/>
          <w:sz w:val="24"/>
          <w:szCs w:val="24"/>
        </w:rPr>
        <w:t xml:space="preserve"> </w:t>
      </w:r>
      <w:r w:rsidR="007760E2">
        <w:rPr>
          <w:rFonts w:ascii="Times New Roman" w:hAnsi="Times New Roman" w:cs="Times New Roman"/>
          <w:bCs/>
          <w:sz w:val="24"/>
          <w:szCs w:val="24"/>
        </w:rPr>
        <w:t>includes</w:t>
      </w:r>
      <w:r w:rsidR="005F354B">
        <w:rPr>
          <w:rFonts w:ascii="Times New Roman" w:hAnsi="Times New Roman" w:cs="Times New Roman"/>
          <w:bCs/>
          <w:sz w:val="24"/>
          <w:szCs w:val="24"/>
        </w:rPr>
        <w:t xml:space="preserve"> </w:t>
      </w:r>
      <w:r>
        <w:rPr>
          <w:rFonts w:ascii="Times New Roman" w:hAnsi="Times New Roman" w:cs="Times New Roman"/>
          <w:sz w:val="24"/>
        </w:rPr>
        <w:t>the result of my own works, pursued under the sup</w:t>
      </w:r>
      <w:r w:rsidR="00AA621C">
        <w:rPr>
          <w:rFonts w:ascii="Times New Roman" w:hAnsi="Times New Roman" w:cs="Times New Roman"/>
          <w:sz w:val="24"/>
        </w:rPr>
        <w:t xml:space="preserve">ervision of </w:t>
      </w:r>
      <w:proofErr w:type="spellStart"/>
      <w:r w:rsidR="00AA621C">
        <w:rPr>
          <w:rFonts w:ascii="Times New Roman" w:hAnsi="Times New Roman" w:cs="Times New Roman"/>
          <w:sz w:val="24"/>
        </w:rPr>
        <w:t>Aminul</w:t>
      </w:r>
      <w:proofErr w:type="spellEnd"/>
      <w:r w:rsidR="009F50E8">
        <w:rPr>
          <w:rFonts w:ascii="Times New Roman" w:hAnsi="Times New Roman" w:cs="Times New Roman"/>
          <w:sz w:val="24"/>
        </w:rPr>
        <w:t xml:space="preserve"> </w:t>
      </w:r>
      <w:proofErr w:type="spellStart"/>
      <w:r w:rsidR="00AA621C">
        <w:rPr>
          <w:rFonts w:ascii="Times New Roman" w:hAnsi="Times New Roman" w:cs="Times New Roman"/>
          <w:sz w:val="24"/>
        </w:rPr>
        <w:t>Haque</w:t>
      </w:r>
      <w:proofErr w:type="spellEnd"/>
      <w:r w:rsidR="009F50E8">
        <w:rPr>
          <w:rFonts w:ascii="Times New Roman" w:hAnsi="Times New Roman" w:cs="Times New Roman"/>
          <w:sz w:val="24"/>
        </w:rPr>
        <w:t xml:space="preserve"> </w:t>
      </w:r>
      <w:proofErr w:type="spellStart"/>
      <w:r w:rsidR="00AA621C">
        <w:rPr>
          <w:rFonts w:ascii="Times New Roman" w:hAnsi="Times New Roman" w:cs="Times New Roman"/>
          <w:sz w:val="24"/>
        </w:rPr>
        <w:t>Russel</w:t>
      </w:r>
      <w:proofErr w:type="spellEnd"/>
      <w:r>
        <w:rPr>
          <w:rFonts w:ascii="Times New Roman" w:hAnsi="Times New Roman" w:cs="Times New Roman"/>
          <w:sz w:val="24"/>
        </w:rPr>
        <w:t>, Lecturer</w:t>
      </w:r>
      <w:r w:rsidR="007760E2">
        <w:rPr>
          <w:rFonts w:ascii="Times New Roman" w:hAnsi="Times New Roman" w:cs="Times New Roman"/>
          <w:sz w:val="24"/>
        </w:rPr>
        <w:t xml:space="preserve"> of BBA Program, </w:t>
      </w:r>
      <w:r>
        <w:rPr>
          <w:rFonts w:ascii="Times New Roman" w:hAnsi="Times New Roman" w:cs="Times New Roman"/>
          <w:sz w:val="24"/>
        </w:rPr>
        <w:t>D</w:t>
      </w:r>
      <w:r w:rsidR="007760E2">
        <w:rPr>
          <w:rFonts w:ascii="Times New Roman" w:hAnsi="Times New Roman" w:cs="Times New Roman"/>
          <w:sz w:val="24"/>
        </w:rPr>
        <w:t>affodil Institute of IT (DIIT).</w:t>
      </w:r>
    </w:p>
    <w:p w:rsidR="007760E2" w:rsidRPr="007760E2" w:rsidRDefault="007760E2" w:rsidP="0059552D">
      <w:pPr>
        <w:spacing w:line="360" w:lineRule="auto"/>
        <w:jc w:val="both"/>
        <w:rPr>
          <w:rFonts w:ascii="Times New Roman" w:hAnsi="Times New Roman" w:cs="Times New Roman"/>
          <w:bCs/>
          <w:sz w:val="24"/>
          <w:szCs w:val="24"/>
        </w:rPr>
      </w:pPr>
      <w:r w:rsidRPr="007760E2">
        <w:rPr>
          <w:rFonts w:ascii="Times New Roman" w:hAnsi="Times New Roman" w:cs="Times New Roman"/>
          <w:bCs/>
          <w:sz w:val="24"/>
          <w:szCs w:val="24"/>
        </w:rPr>
        <w:t>I also like to declare that this report paper is my original work and is prepared for academic purpose which is a part of BBA program.</w:t>
      </w:r>
    </w:p>
    <w:p w:rsidR="007760E2" w:rsidRDefault="007760E2" w:rsidP="00CE5D5F">
      <w:pPr>
        <w:tabs>
          <w:tab w:val="left" w:pos="2450"/>
        </w:tabs>
        <w:jc w:val="both"/>
        <w:rPr>
          <w:rFonts w:ascii="Times New Roman" w:hAnsi="Times New Roman" w:cs="Times New Roman"/>
          <w:sz w:val="24"/>
        </w:rPr>
      </w:pPr>
    </w:p>
    <w:p w:rsidR="00ED511A" w:rsidRDefault="00ED511A" w:rsidP="00CE5D5F">
      <w:pPr>
        <w:tabs>
          <w:tab w:val="left" w:pos="2450"/>
        </w:tabs>
        <w:jc w:val="both"/>
        <w:rPr>
          <w:rFonts w:ascii="Times New Roman" w:hAnsi="Times New Roman" w:cs="Times New Roman"/>
          <w:sz w:val="24"/>
        </w:rPr>
      </w:pPr>
    </w:p>
    <w:p w:rsidR="00ED511A" w:rsidRDefault="00ED511A" w:rsidP="00CE5D5F">
      <w:pPr>
        <w:tabs>
          <w:tab w:val="left" w:pos="2450"/>
        </w:tabs>
        <w:jc w:val="both"/>
        <w:rPr>
          <w:rFonts w:ascii="Times New Roman" w:hAnsi="Times New Roman" w:cs="Times New Roman"/>
          <w:sz w:val="24"/>
        </w:rPr>
      </w:pPr>
    </w:p>
    <w:p w:rsidR="00ED511A" w:rsidRDefault="00ED511A" w:rsidP="00CE5D5F">
      <w:pPr>
        <w:tabs>
          <w:tab w:val="left" w:pos="2450"/>
        </w:tabs>
        <w:jc w:val="both"/>
        <w:rPr>
          <w:rFonts w:ascii="Times New Roman" w:hAnsi="Times New Roman" w:cs="Times New Roman"/>
          <w:sz w:val="24"/>
        </w:rPr>
      </w:pPr>
    </w:p>
    <w:p w:rsidR="00ED511A" w:rsidRDefault="00ED511A" w:rsidP="00CE5D5F">
      <w:pPr>
        <w:tabs>
          <w:tab w:val="left" w:pos="2450"/>
        </w:tabs>
        <w:jc w:val="both"/>
        <w:rPr>
          <w:rFonts w:ascii="Times New Roman" w:hAnsi="Times New Roman" w:cs="Times New Roman"/>
          <w:sz w:val="24"/>
        </w:rPr>
      </w:pPr>
    </w:p>
    <w:p w:rsidR="00ED511A" w:rsidRDefault="00ED511A" w:rsidP="00CE5D5F">
      <w:pPr>
        <w:tabs>
          <w:tab w:val="left" w:pos="2450"/>
        </w:tabs>
        <w:jc w:val="both"/>
        <w:rPr>
          <w:rFonts w:ascii="Times New Roman" w:hAnsi="Times New Roman" w:cs="Times New Roman"/>
          <w:sz w:val="24"/>
        </w:rPr>
      </w:pPr>
    </w:p>
    <w:p w:rsidR="00ED511A" w:rsidRDefault="00ED511A" w:rsidP="00CE5D5F">
      <w:pPr>
        <w:tabs>
          <w:tab w:val="left" w:pos="2450"/>
        </w:tabs>
        <w:jc w:val="both"/>
        <w:rPr>
          <w:rFonts w:ascii="Times New Roman" w:hAnsi="Times New Roman" w:cs="Times New Roman"/>
          <w:sz w:val="24"/>
        </w:rPr>
      </w:pPr>
    </w:p>
    <w:p w:rsidR="00ED511A" w:rsidRDefault="00ED511A" w:rsidP="00CE5D5F">
      <w:pPr>
        <w:tabs>
          <w:tab w:val="left" w:pos="2450"/>
        </w:tabs>
        <w:jc w:val="both"/>
        <w:rPr>
          <w:rFonts w:ascii="Times New Roman" w:hAnsi="Times New Roman" w:cs="Times New Roman"/>
          <w:sz w:val="24"/>
        </w:rPr>
      </w:pPr>
    </w:p>
    <w:p w:rsidR="00ED511A" w:rsidRDefault="00B8592C" w:rsidP="00CE5D5F">
      <w:pPr>
        <w:tabs>
          <w:tab w:val="left" w:pos="2450"/>
        </w:tabs>
        <w:jc w:val="both"/>
        <w:rPr>
          <w:rFonts w:ascii="Times New Roman" w:hAnsi="Times New Roman" w:cs="Times New Roman"/>
          <w:sz w:val="24"/>
        </w:rPr>
      </w:pPr>
      <w:r>
        <w:rPr>
          <w:rFonts w:ascii="Times New Roman" w:hAnsi="Times New Roman" w:cs="Times New Roman"/>
          <w:noProof/>
          <w:sz w:val="24"/>
          <w:lang w:bidi="bn-BD"/>
        </w:rPr>
        <w:pict>
          <v:shape id="_x0000_s1027" type="#_x0000_t32" style="position:absolute;left:0;text-align:left;margin-left:-.75pt;margin-top:21.8pt;width:123pt;height:0;z-index:251659264" o:connectortype="straight"/>
        </w:pict>
      </w:r>
    </w:p>
    <w:p w:rsidR="007760E2" w:rsidRDefault="007760E2" w:rsidP="007760E2">
      <w:pPr>
        <w:tabs>
          <w:tab w:val="left" w:pos="2450"/>
        </w:tabs>
        <w:spacing w:after="0"/>
        <w:jc w:val="both"/>
        <w:rPr>
          <w:rFonts w:ascii="Times New Roman" w:hAnsi="Times New Roman" w:cs="Times New Roman"/>
          <w:sz w:val="24"/>
        </w:rPr>
      </w:pPr>
      <w:r>
        <w:rPr>
          <w:rFonts w:ascii="Times New Roman" w:hAnsi="Times New Roman" w:cs="Times New Roman"/>
          <w:sz w:val="24"/>
        </w:rPr>
        <w:t xml:space="preserve">Md. </w:t>
      </w:r>
      <w:proofErr w:type="spellStart"/>
      <w:r>
        <w:rPr>
          <w:rFonts w:ascii="Times New Roman" w:hAnsi="Times New Roman" w:cs="Times New Roman"/>
          <w:sz w:val="24"/>
        </w:rPr>
        <w:t>Farhad</w:t>
      </w:r>
      <w:proofErr w:type="spellEnd"/>
      <w:r w:rsidR="009F50E8">
        <w:rPr>
          <w:rFonts w:ascii="Times New Roman" w:hAnsi="Times New Roman" w:cs="Times New Roman"/>
          <w:sz w:val="24"/>
        </w:rPr>
        <w:t xml:space="preserve"> </w:t>
      </w:r>
      <w:proofErr w:type="spellStart"/>
      <w:r>
        <w:rPr>
          <w:rFonts w:ascii="Times New Roman" w:hAnsi="Times New Roman" w:cs="Times New Roman"/>
          <w:sz w:val="24"/>
        </w:rPr>
        <w:t>Hossain</w:t>
      </w:r>
      <w:proofErr w:type="spellEnd"/>
    </w:p>
    <w:p w:rsidR="007760E2" w:rsidRDefault="007760E2" w:rsidP="007760E2">
      <w:pPr>
        <w:tabs>
          <w:tab w:val="left" w:pos="2450"/>
        </w:tabs>
        <w:spacing w:after="0"/>
        <w:jc w:val="both"/>
        <w:rPr>
          <w:rFonts w:ascii="Times New Roman" w:hAnsi="Times New Roman" w:cs="Times New Roman"/>
          <w:sz w:val="24"/>
        </w:rPr>
      </w:pPr>
      <w:r>
        <w:rPr>
          <w:rFonts w:ascii="Times New Roman" w:hAnsi="Times New Roman" w:cs="Times New Roman"/>
          <w:sz w:val="24"/>
        </w:rPr>
        <w:t>Roll No: 1172412</w:t>
      </w:r>
    </w:p>
    <w:p w:rsidR="007760E2" w:rsidRDefault="007760E2" w:rsidP="007760E2">
      <w:pPr>
        <w:tabs>
          <w:tab w:val="left" w:pos="2450"/>
        </w:tabs>
        <w:spacing w:after="0"/>
        <w:jc w:val="both"/>
        <w:rPr>
          <w:rFonts w:ascii="Times New Roman" w:hAnsi="Times New Roman" w:cs="Times New Roman"/>
          <w:sz w:val="24"/>
        </w:rPr>
      </w:pPr>
      <w:r>
        <w:rPr>
          <w:rFonts w:ascii="Times New Roman" w:hAnsi="Times New Roman" w:cs="Times New Roman"/>
          <w:sz w:val="24"/>
        </w:rPr>
        <w:t>Registration No: 1177080</w:t>
      </w:r>
    </w:p>
    <w:p w:rsidR="007760E2" w:rsidRDefault="007760E2" w:rsidP="007760E2">
      <w:pPr>
        <w:tabs>
          <w:tab w:val="left" w:pos="2450"/>
        </w:tabs>
        <w:spacing w:after="0"/>
        <w:jc w:val="both"/>
        <w:rPr>
          <w:rFonts w:ascii="Times New Roman" w:hAnsi="Times New Roman" w:cs="Times New Roman"/>
          <w:sz w:val="24"/>
        </w:rPr>
      </w:pPr>
      <w:r>
        <w:rPr>
          <w:rFonts w:ascii="Times New Roman" w:hAnsi="Times New Roman" w:cs="Times New Roman"/>
          <w:sz w:val="24"/>
        </w:rPr>
        <w:t xml:space="preserve">Session: 2010-2011 </w:t>
      </w:r>
    </w:p>
    <w:p w:rsidR="007760E2" w:rsidRDefault="007760E2" w:rsidP="007760E2">
      <w:pPr>
        <w:tabs>
          <w:tab w:val="left" w:pos="2450"/>
        </w:tabs>
        <w:spacing w:after="0"/>
        <w:jc w:val="both"/>
        <w:rPr>
          <w:rFonts w:ascii="Times New Roman" w:hAnsi="Times New Roman" w:cs="Times New Roman"/>
          <w:sz w:val="24"/>
        </w:rPr>
      </w:pPr>
      <w:r>
        <w:rPr>
          <w:rFonts w:ascii="Times New Roman" w:hAnsi="Times New Roman" w:cs="Times New Roman"/>
          <w:sz w:val="24"/>
        </w:rPr>
        <w:t>Program BBA</w:t>
      </w:r>
    </w:p>
    <w:p w:rsidR="007760E2" w:rsidRDefault="007760E2" w:rsidP="007760E2">
      <w:pPr>
        <w:tabs>
          <w:tab w:val="left" w:pos="2450"/>
        </w:tabs>
        <w:spacing w:after="0"/>
        <w:jc w:val="both"/>
        <w:rPr>
          <w:rFonts w:ascii="Times New Roman" w:hAnsi="Times New Roman" w:cs="Times New Roman"/>
          <w:sz w:val="24"/>
        </w:rPr>
      </w:pPr>
      <w:r>
        <w:rPr>
          <w:rFonts w:ascii="Times New Roman" w:hAnsi="Times New Roman" w:cs="Times New Roman"/>
          <w:sz w:val="24"/>
        </w:rPr>
        <w:t xml:space="preserve">Major in Finance </w:t>
      </w:r>
    </w:p>
    <w:p w:rsidR="007760E2" w:rsidRDefault="007760E2" w:rsidP="007760E2">
      <w:pPr>
        <w:tabs>
          <w:tab w:val="left" w:pos="2450"/>
        </w:tabs>
        <w:spacing w:after="0"/>
        <w:jc w:val="both"/>
        <w:rPr>
          <w:rFonts w:ascii="Times New Roman" w:hAnsi="Times New Roman" w:cs="Times New Roman"/>
          <w:sz w:val="24"/>
        </w:rPr>
      </w:pPr>
      <w:r>
        <w:rPr>
          <w:rFonts w:ascii="Times New Roman" w:hAnsi="Times New Roman" w:cs="Times New Roman"/>
          <w:sz w:val="24"/>
        </w:rPr>
        <w:t>Daffodil Institute of IT (DIIT)</w:t>
      </w:r>
    </w:p>
    <w:p w:rsidR="007760E2" w:rsidRDefault="007760E2" w:rsidP="007760E2">
      <w:pPr>
        <w:tabs>
          <w:tab w:val="left" w:pos="2450"/>
        </w:tabs>
        <w:spacing w:after="0"/>
        <w:jc w:val="both"/>
        <w:rPr>
          <w:rFonts w:ascii="Times New Roman" w:hAnsi="Times New Roman" w:cs="Times New Roman"/>
          <w:sz w:val="24"/>
        </w:rPr>
      </w:pPr>
      <w:r>
        <w:rPr>
          <w:rFonts w:ascii="Times New Roman" w:hAnsi="Times New Roman" w:cs="Times New Roman"/>
          <w:sz w:val="24"/>
        </w:rPr>
        <w:t>National University</w:t>
      </w:r>
    </w:p>
    <w:p w:rsidR="00ED511A" w:rsidRDefault="00ED511A" w:rsidP="00ED511A">
      <w:pPr>
        <w:tabs>
          <w:tab w:val="left" w:pos="2450"/>
        </w:tabs>
        <w:jc w:val="both"/>
        <w:rPr>
          <w:rFonts w:ascii="Times New Roman" w:hAnsi="Times New Roman" w:cs="Times New Roman"/>
          <w:sz w:val="24"/>
        </w:rPr>
      </w:pPr>
    </w:p>
    <w:p w:rsidR="00ED511A" w:rsidRDefault="00ED511A" w:rsidP="00ED511A">
      <w:pPr>
        <w:tabs>
          <w:tab w:val="left" w:pos="2450"/>
        </w:tabs>
        <w:jc w:val="both"/>
        <w:rPr>
          <w:rFonts w:ascii="Times New Roman" w:hAnsi="Times New Roman" w:cs="Times New Roman"/>
          <w:sz w:val="24"/>
        </w:rPr>
      </w:pPr>
    </w:p>
    <w:p w:rsidR="00CF7225" w:rsidRDefault="00CF7225" w:rsidP="0059552D">
      <w:pPr>
        <w:tabs>
          <w:tab w:val="left" w:pos="2450"/>
        </w:tabs>
        <w:jc w:val="center"/>
        <w:rPr>
          <w:rFonts w:ascii="Times New Roman" w:hAnsi="Times New Roman" w:cs="Times New Roman"/>
          <w:b/>
          <w:bCs/>
          <w:sz w:val="32"/>
          <w:szCs w:val="24"/>
          <w:u w:val="thick"/>
        </w:rPr>
      </w:pPr>
    </w:p>
    <w:p w:rsidR="00CF7225" w:rsidRDefault="00CF7225" w:rsidP="0059552D">
      <w:pPr>
        <w:tabs>
          <w:tab w:val="left" w:pos="2450"/>
        </w:tabs>
        <w:jc w:val="center"/>
        <w:rPr>
          <w:rFonts w:ascii="Times New Roman" w:hAnsi="Times New Roman" w:cs="Times New Roman"/>
          <w:b/>
          <w:bCs/>
          <w:sz w:val="32"/>
          <w:szCs w:val="24"/>
          <w:u w:val="thick"/>
        </w:rPr>
      </w:pPr>
    </w:p>
    <w:p w:rsidR="009C5526" w:rsidRDefault="009C5526" w:rsidP="0059552D">
      <w:pPr>
        <w:tabs>
          <w:tab w:val="left" w:pos="2450"/>
        </w:tabs>
        <w:jc w:val="center"/>
        <w:rPr>
          <w:rFonts w:ascii="Times New Roman" w:hAnsi="Times New Roman" w:cs="Times New Roman"/>
          <w:b/>
          <w:bCs/>
          <w:color w:val="FF00FF"/>
          <w:sz w:val="32"/>
          <w:szCs w:val="24"/>
          <w:u w:val="thick"/>
        </w:rPr>
      </w:pPr>
    </w:p>
    <w:p w:rsidR="00ED511A" w:rsidRPr="009F50E8" w:rsidRDefault="00ED511A" w:rsidP="0059552D">
      <w:pPr>
        <w:tabs>
          <w:tab w:val="left" w:pos="2450"/>
        </w:tabs>
        <w:jc w:val="center"/>
        <w:rPr>
          <w:rFonts w:ascii="Times New Roman" w:hAnsi="Times New Roman" w:cs="Times New Roman"/>
          <w:b/>
          <w:bCs/>
          <w:color w:val="FF00FF"/>
          <w:sz w:val="32"/>
          <w:szCs w:val="24"/>
          <w:u w:val="thick"/>
        </w:rPr>
      </w:pPr>
      <w:r w:rsidRPr="009F50E8">
        <w:rPr>
          <w:rFonts w:ascii="Times New Roman" w:hAnsi="Times New Roman" w:cs="Times New Roman"/>
          <w:b/>
          <w:bCs/>
          <w:color w:val="FF00FF"/>
          <w:sz w:val="32"/>
          <w:szCs w:val="24"/>
          <w:u w:val="thick"/>
        </w:rPr>
        <w:lastRenderedPageBreak/>
        <w:t>Acknowledgement</w:t>
      </w:r>
    </w:p>
    <w:p w:rsidR="00ED511A" w:rsidRDefault="00ED511A" w:rsidP="0059552D">
      <w:pPr>
        <w:tabs>
          <w:tab w:val="left" w:pos="2450"/>
        </w:tabs>
        <w:spacing w:line="360" w:lineRule="auto"/>
        <w:jc w:val="both"/>
        <w:rPr>
          <w:rFonts w:ascii="Times New Roman" w:hAnsi="Times New Roman" w:cs="Times New Roman"/>
          <w:sz w:val="24"/>
        </w:rPr>
      </w:pPr>
      <w:r>
        <w:rPr>
          <w:rFonts w:ascii="Times New Roman" w:hAnsi="Times New Roman" w:cs="Times New Roman"/>
          <w:sz w:val="24"/>
        </w:rPr>
        <w:t>At first I would like to thank Almighty ALLAH who gave me to prepare this term paper. This report has created a deal of interest to me.</w:t>
      </w:r>
    </w:p>
    <w:p w:rsidR="005C3894" w:rsidRPr="005C3894" w:rsidRDefault="005C3894" w:rsidP="0059552D">
      <w:pPr>
        <w:autoSpaceDE w:val="0"/>
        <w:autoSpaceDN w:val="0"/>
        <w:adjustRightInd w:val="0"/>
        <w:spacing w:after="0" w:line="360" w:lineRule="auto"/>
        <w:jc w:val="both"/>
        <w:rPr>
          <w:rFonts w:ascii="Times New Roman" w:hAnsi="Times New Roman" w:cs="Times New Roman"/>
          <w:sz w:val="24"/>
          <w:szCs w:val="24"/>
          <w:lang w:bidi="bn-BD"/>
        </w:rPr>
      </w:pPr>
      <w:r w:rsidRPr="005C3894">
        <w:rPr>
          <w:rFonts w:ascii="Times New Roman" w:hAnsi="Times New Roman" w:cs="Times New Roman"/>
          <w:sz w:val="24"/>
          <w:szCs w:val="24"/>
          <w:lang w:bidi="bn-BD"/>
        </w:rPr>
        <w:t>Preparing this report was exciting and hard work at the same time. It is for the first time that I have been able to gather real life experience working on a report.</w:t>
      </w:r>
    </w:p>
    <w:p w:rsidR="005C3894" w:rsidRPr="005C3894" w:rsidRDefault="005C3894" w:rsidP="0059552D">
      <w:pPr>
        <w:tabs>
          <w:tab w:val="left" w:pos="2450"/>
        </w:tabs>
        <w:spacing w:line="360" w:lineRule="auto"/>
        <w:jc w:val="both"/>
        <w:rPr>
          <w:rFonts w:ascii="Times New Roman" w:hAnsi="Times New Roman" w:cs="Times New Roman"/>
          <w:sz w:val="24"/>
          <w:szCs w:val="24"/>
          <w:lang w:bidi="bn-BD"/>
        </w:rPr>
      </w:pPr>
      <w:r w:rsidRPr="005C3894">
        <w:rPr>
          <w:rFonts w:ascii="Times New Roman" w:hAnsi="Times New Roman" w:cs="Times New Roman"/>
          <w:color w:val="000000" w:themeColor="text1"/>
          <w:sz w:val="24"/>
          <w:szCs w:val="24"/>
        </w:rPr>
        <w:t xml:space="preserve">I would like to give my heartiest gratitude to </w:t>
      </w:r>
      <w:proofErr w:type="spellStart"/>
      <w:r w:rsidRPr="005C3894">
        <w:rPr>
          <w:rFonts w:ascii="Times New Roman" w:hAnsi="Times New Roman" w:cs="Times New Roman"/>
          <w:b/>
          <w:color w:val="000000" w:themeColor="text1"/>
          <w:sz w:val="24"/>
          <w:szCs w:val="24"/>
        </w:rPr>
        <w:t>Aminul</w:t>
      </w:r>
      <w:proofErr w:type="spellEnd"/>
      <w:r w:rsidR="009F50E8">
        <w:rPr>
          <w:rFonts w:ascii="Times New Roman" w:hAnsi="Times New Roman" w:cs="Times New Roman"/>
          <w:b/>
          <w:color w:val="000000" w:themeColor="text1"/>
          <w:sz w:val="24"/>
          <w:szCs w:val="24"/>
        </w:rPr>
        <w:t xml:space="preserve"> </w:t>
      </w:r>
      <w:proofErr w:type="spellStart"/>
      <w:r w:rsidRPr="005C3894">
        <w:rPr>
          <w:rFonts w:ascii="Times New Roman" w:hAnsi="Times New Roman" w:cs="Times New Roman"/>
          <w:b/>
          <w:color w:val="000000" w:themeColor="text1"/>
          <w:sz w:val="24"/>
          <w:szCs w:val="24"/>
        </w:rPr>
        <w:t>Haque</w:t>
      </w:r>
      <w:proofErr w:type="spellEnd"/>
      <w:r w:rsidR="009F50E8">
        <w:rPr>
          <w:rFonts w:ascii="Times New Roman" w:hAnsi="Times New Roman" w:cs="Times New Roman"/>
          <w:b/>
          <w:color w:val="000000" w:themeColor="text1"/>
          <w:sz w:val="24"/>
          <w:szCs w:val="24"/>
        </w:rPr>
        <w:t xml:space="preserve"> </w:t>
      </w:r>
      <w:proofErr w:type="spellStart"/>
      <w:r w:rsidRPr="005C3894">
        <w:rPr>
          <w:rFonts w:ascii="Times New Roman" w:hAnsi="Times New Roman" w:cs="Times New Roman"/>
          <w:b/>
          <w:color w:val="000000" w:themeColor="text1"/>
          <w:sz w:val="24"/>
          <w:szCs w:val="24"/>
        </w:rPr>
        <w:t>Russel</w:t>
      </w:r>
      <w:proofErr w:type="spellEnd"/>
      <w:r w:rsidRPr="005C3894">
        <w:rPr>
          <w:rFonts w:ascii="Times New Roman" w:hAnsi="Times New Roman" w:cs="Times New Roman"/>
          <w:color w:val="000000" w:themeColor="text1"/>
          <w:sz w:val="24"/>
          <w:szCs w:val="24"/>
        </w:rPr>
        <w:t>, Lecturer BBA Program, Daffodil Institute of IT,</w:t>
      </w:r>
      <w:r w:rsidRPr="005C3894">
        <w:rPr>
          <w:rFonts w:ascii="Times New Roman" w:hAnsi="Times New Roman" w:cs="Times New Roman"/>
          <w:sz w:val="24"/>
          <w:szCs w:val="24"/>
          <w:lang w:bidi="bn-BD"/>
        </w:rPr>
        <w:t xml:space="preserve"> my internship supervisor, for his kind concern, valuable time, advice,</w:t>
      </w:r>
      <w:r w:rsidRPr="005C3894">
        <w:rPr>
          <w:rFonts w:ascii="Times New Roman" w:hAnsi="Times New Roman" w:cs="Times New Roman"/>
          <w:color w:val="000000" w:themeColor="text1"/>
          <w:sz w:val="24"/>
          <w:szCs w:val="24"/>
        </w:rPr>
        <w:t xml:space="preserve"> endless endeavor and guidance </w:t>
      </w:r>
      <w:r w:rsidRPr="005C3894">
        <w:rPr>
          <w:rFonts w:ascii="Times New Roman" w:hAnsi="Times New Roman" w:cs="Times New Roman"/>
          <w:sz w:val="24"/>
          <w:szCs w:val="24"/>
          <w:lang w:bidi="bn-BD"/>
        </w:rPr>
        <w:t>throughout the internship period and making of the report.</w:t>
      </w:r>
    </w:p>
    <w:p w:rsidR="00ED511A" w:rsidRDefault="00ED511A" w:rsidP="0059552D">
      <w:pPr>
        <w:tabs>
          <w:tab w:val="left" w:pos="2450"/>
        </w:tabs>
        <w:spacing w:line="360" w:lineRule="auto"/>
        <w:jc w:val="both"/>
        <w:rPr>
          <w:rFonts w:ascii="Times New Roman" w:hAnsi="Times New Roman" w:cs="Times New Roman"/>
          <w:sz w:val="24"/>
        </w:rPr>
      </w:pPr>
      <w:r>
        <w:rPr>
          <w:rFonts w:ascii="Times New Roman" w:hAnsi="Times New Roman" w:cs="Times New Roman"/>
          <w:sz w:val="24"/>
        </w:rPr>
        <w:t>I would like to thank the authority to the Daffodil Institute of I</w:t>
      </w:r>
      <w:r w:rsidR="005C3894">
        <w:rPr>
          <w:rFonts w:ascii="Times New Roman" w:hAnsi="Times New Roman" w:cs="Times New Roman"/>
          <w:sz w:val="24"/>
        </w:rPr>
        <w:t>T</w:t>
      </w:r>
      <w:r>
        <w:rPr>
          <w:rFonts w:ascii="Times New Roman" w:hAnsi="Times New Roman" w:cs="Times New Roman"/>
          <w:sz w:val="24"/>
        </w:rPr>
        <w:t xml:space="preserve"> (DIIT) for allowing me to do my report here.</w:t>
      </w:r>
    </w:p>
    <w:p w:rsidR="00ED511A" w:rsidRDefault="00ED511A" w:rsidP="00ED511A">
      <w:pPr>
        <w:tabs>
          <w:tab w:val="left" w:pos="2450"/>
        </w:tabs>
        <w:jc w:val="both"/>
        <w:rPr>
          <w:rFonts w:ascii="Times New Roman" w:hAnsi="Times New Roman" w:cs="Times New Roman"/>
          <w:sz w:val="24"/>
        </w:rPr>
      </w:pPr>
    </w:p>
    <w:p w:rsidR="00ED511A" w:rsidRDefault="00ED511A" w:rsidP="00ED511A">
      <w:pPr>
        <w:tabs>
          <w:tab w:val="left" w:pos="2450"/>
        </w:tabs>
        <w:jc w:val="both"/>
        <w:rPr>
          <w:rFonts w:ascii="Times New Roman" w:hAnsi="Times New Roman" w:cs="Times New Roman"/>
          <w:sz w:val="24"/>
        </w:rPr>
      </w:pPr>
    </w:p>
    <w:p w:rsidR="00ED511A" w:rsidRDefault="00ED511A" w:rsidP="00ED511A">
      <w:pPr>
        <w:tabs>
          <w:tab w:val="left" w:pos="2450"/>
        </w:tabs>
        <w:jc w:val="both"/>
        <w:rPr>
          <w:rFonts w:ascii="Times New Roman" w:hAnsi="Times New Roman" w:cs="Times New Roman"/>
          <w:sz w:val="24"/>
        </w:rPr>
      </w:pPr>
    </w:p>
    <w:p w:rsidR="00ED511A" w:rsidRDefault="00ED511A" w:rsidP="00ED511A">
      <w:pPr>
        <w:tabs>
          <w:tab w:val="left" w:pos="2450"/>
        </w:tabs>
        <w:jc w:val="both"/>
        <w:rPr>
          <w:rFonts w:ascii="Times New Roman" w:hAnsi="Times New Roman" w:cs="Times New Roman"/>
          <w:sz w:val="24"/>
        </w:rPr>
      </w:pPr>
    </w:p>
    <w:p w:rsidR="00ED511A" w:rsidRDefault="00ED511A" w:rsidP="00ED511A">
      <w:pPr>
        <w:tabs>
          <w:tab w:val="left" w:pos="2450"/>
        </w:tabs>
        <w:jc w:val="both"/>
        <w:rPr>
          <w:rFonts w:ascii="Times New Roman" w:hAnsi="Times New Roman" w:cs="Times New Roman"/>
          <w:sz w:val="24"/>
        </w:rPr>
      </w:pPr>
    </w:p>
    <w:p w:rsidR="00ED511A" w:rsidRDefault="00ED511A" w:rsidP="00ED511A">
      <w:pPr>
        <w:tabs>
          <w:tab w:val="left" w:pos="2450"/>
        </w:tabs>
        <w:jc w:val="both"/>
        <w:rPr>
          <w:rFonts w:ascii="Times New Roman" w:hAnsi="Times New Roman" w:cs="Times New Roman"/>
          <w:sz w:val="24"/>
        </w:rPr>
      </w:pPr>
    </w:p>
    <w:p w:rsidR="00ED511A" w:rsidRDefault="00ED511A" w:rsidP="00ED511A">
      <w:pPr>
        <w:tabs>
          <w:tab w:val="left" w:pos="2450"/>
        </w:tabs>
        <w:jc w:val="both"/>
        <w:rPr>
          <w:rFonts w:ascii="Times New Roman" w:hAnsi="Times New Roman" w:cs="Times New Roman"/>
          <w:sz w:val="24"/>
        </w:rPr>
      </w:pPr>
    </w:p>
    <w:p w:rsidR="00ED511A" w:rsidRDefault="00ED511A" w:rsidP="00ED511A">
      <w:pPr>
        <w:tabs>
          <w:tab w:val="left" w:pos="2450"/>
        </w:tabs>
        <w:jc w:val="both"/>
        <w:rPr>
          <w:rFonts w:ascii="Times New Roman" w:hAnsi="Times New Roman" w:cs="Times New Roman"/>
          <w:sz w:val="24"/>
        </w:rPr>
      </w:pPr>
    </w:p>
    <w:p w:rsidR="00ED511A" w:rsidRDefault="00ED511A" w:rsidP="00ED511A">
      <w:pPr>
        <w:tabs>
          <w:tab w:val="left" w:pos="2450"/>
        </w:tabs>
        <w:jc w:val="both"/>
        <w:rPr>
          <w:rFonts w:ascii="Times New Roman" w:hAnsi="Times New Roman" w:cs="Times New Roman"/>
          <w:sz w:val="24"/>
        </w:rPr>
      </w:pPr>
    </w:p>
    <w:p w:rsidR="00ED511A" w:rsidRDefault="00ED511A" w:rsidP="00ED511A">
      <w:pPr>
        <w:tabs>
          <w:tab w:val="left" w:pos="2450"/>
        </w:tabs>
        <w:jc w:val="both"/>
        <w:rPr>
          <w:rFonts w:ascii="Times New Roman" w:hAnsi="Times New Roman" w:cs="Times New Roman"/>
          <w:sz w:val="24"/>
        </w:rPr>
      </w:pPr>
    </w:p>
    <w:p w:rsidR="00ED511A" w:rsidRDefault="00ED511A" w:rsidP="00ED511A">
      <w:pPr>
        <w:tabs>
          <w:tab w:val="left" w:pos="2450"/>
        </w:tabs>
        <w:jc w:val="both"/>
        <w:rPr>
          <w:rFonts w:ascii="Times New Roman" w:hAnsi="Times New Roman" w:cs="Times New Roman"/>
          <w:sz w:val="24"/>
        </w:rPr>
      </w:pPr>
    </w:p>
    <w:p w:rsidR="00ED511A" w:rsidRDefault="00ED511A" w:rsidP="00ED511A">
      <w:pPr>
        <w:tabs>
          <w:tab w:val="left" w:pos="2450"/>
        </w:tabs>
        <w:jc w:val="both"/>
        <w:rPr>
          <w:rFonts w:ascii="Times New Roman" w:hAnsi="Times New Roman" w:cs="Times New Roman"/>
          <w:sz w:val="24"/>
        </w:rPr>
      </w:pPr>
    </w:p>
    <w:p w:rsidR="00A23036" w:rsidRDefault="00A23036" w:rsidP="00DD0273">
      <w:pPr>
        <w:tabs>
          <w:tab w:val="left" w:pos="2450"/>
        </w:tabs>
        <w:rPr>
          <w:rFonts w:ascii="Times New Roman" w:hAnsi="Times New Roman" w:cs="Times New Roman"/>
          <w:sz w:val="24"/>
        </w:rPr>
      </w:pPr>
    </w:p>
    <w:p w:rsidR="00DD0273" w:rsidRDefault="00DD0273" w:rsidP="00DD0273">
      <w:pPr>
        <w:tabs>
          <w:tab w:val="left" w:pos="2450"/>
        </w:tabs>
        <w:rPr>
          <w:rFonts w:ascii="Times New Roman" w:hAnsi="Times New Roman" w:cs="Times New Roman"/>
          <w:sz w:val="24"/>
        </w:rPr>
      </w:pPr>
    </w:p>
    <w:p w:rsidR="008251C5" w:rsidRDefault="008251C5" w:rsidP="008251C5">
      <w:pPr>
        <w:tabs>
          <w:tab w:val="left" w:pos="2450"/>
        </w:tabs>
        <w:rPr>
          <w:rFonts w:ascii="Times New Roman" w:hAnsi="Times New Roman" w:cs="Times New Roman"/>
          <w:b/>
          <w:sz w:val="32"/>
          <w:szCs w:val="24"/>
          <w:u w:val="thick"/>
        </w:rPr>
      </w:pPr>
    </w:p>
    <w:p w:rsidR="009C5526" w:rsidRDefault="009C5526" w:rsidP="008251C5">
      <w:pPr>
        <w:tabs>
          <w:tab w:val="left" w:pos="2450"/>
        </w:tabs>
        <w:jc w:val="center"/>
        <w:rPr>
          <w:rFonts w:ascii="Times New Roman" w:hAnsi="Times New Roman" w:cs="Times New Roman"/>
          <w:b/>
          <w:color w:val="FF00FF"/>
          <w:sz w:val="32"/>
          <w:szCs w:val="24"/>
          <w:u w:val="thick"/>
        </w:rPr>
      </w:pPr>
    </w:p>
    <w:p w:rsidR="009C5526" w:rsidRDefault="009C5526" w:rsidP="008251C5">
      <w:pPr>
        <w:tabs>
          <w:tab w:val="left" w:pos="2450"/>
        </w:tabs>
        <w:jc w:val="center"/>
        <w:rPr>
          <w:rFonts w:ascii="Times New Roman" w:hAnsi="Times New Roman" w:cs="Times New Roman"/>
          <w:b/>
          <w:color w:val="FF00FF"/>
          <w:sz w:val="32"/>
          <w:szCs w:val="24"/>
          <w:u w:val="thick"/>
        </w:rPr>
      </w:pPr>
    </w:p>
    <w:p w:rsidR="00ED511A" w:rsidRPr="009F50E8" w:rsidRDefault="00ED511A" w:rsidP="008251C5">
      <w:pPr>
        <w:tabs>
          <w:tab w:val="left" w:pos="2450"/>
        </w:tabs>
        <w:jc w:val="center"/>
        <w:rPr>
          <w:rFonts w:ascii="Times New Roman" w:hAnsi="Times New Roman" w:cs="Times New Roman"/>
          <w:b/>
          <w:color w:val="FF00FF"/>
          <w:sz w:val="32"/>
          <w:szCs w:val="24"/>
          <w:u w:val="thick"/>
        </w:rPr>
      </w:pPr>
      <w:r w:rsidRPr="009F50E8">
        <w:rPr>
          <w:rFonts w:ascii="Times New Roman" w:hAnsi="Times New Roman" w:cs="Times New Roman"/>
          <w:b/>
          <w:color w:val="FF00FF"/>
          <w:sz w:val="32"/>
          <w:szCs w:val="24"/>
          <w:u w:val="thick"/>
        </w:rPr>
        <w:lastRenderedPageBreak/>
        <w:t>Executive Summary</w:t>
      </w:r>
    </w:p>
    <w:p w:rsidR="00725FAA" w:rsidRPr="00725FAA" w:rsidRDefault="00725FAA" w:rsidP="00321A50">
      <w:pPr>
        <w:tabs>
          <w:tab w:val="left" w:pos="2450"/>
        </w:tabs>
        <w:jc w:val="both"/>
        <w:rPr>
          <w:rFonts w:ascii="Times New Roman" w:hAnsi="Times New Roman" w:cs="Times New Roman"/>
          <w:sz w:val="4"/>
        </w:rPr>
      </w:pPr>
    </w:p>
    <w:p w:rsidR="008F17C5" w:rsidRDefault="008F17C5" w:rsidP="008F17C5">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Green financing can play a significant role in implementing the broader concept of sustainable economic development. It can be expressed differently depending on the participant, and it may be led by financial incentives, a desire to preserve the planet, or a combination of both. In addition to demonstrating proactive, environmentally friendly behavior, such as promoting mass transit or the recycling of used goods, green finance is about avoiding the promotion of any business or activity that could be damaging to the environment now or for future generations. The financing is the investment area of banks from which the operational profit is generated. The only ethical investment includes agriculture and green financing. Green financing can be direct and indirect from the perspective of banks. </w:t>
      </w:r>
    </w:p>
    <w:p w:rsidR="008F17C5" w:rsidRDefault="008F17C5" w:rsidP="008F17C5">
      <w:pPr>
        <w:spacing w:line="360" w:lineRule="auto"/>
      </w:pPr>
      <w:r>
        <w:rPr>
          <w:rFonts w:ascii="Times New Roman" w:eastAsia="Times New Roman" w:hAnsi="Times New Roman" w:cs="Times New Roman"/>
          <w:sz w:val="24"/>
        </w:rPr>
        <w:t xml:space="preserve">It shall attempt to establish a relationship between Green Finance and the Sustainable Economy. As defined in this paper, Green Finance encompasses a broad spectrum of funding mechanisms and sources for environment-oriented technologies, projects, industries or businesses as well as financial products and services like green loans, bonds, insurance, etc. </w:t>
      </w:r>
    </w:p>
    <w:p w:rsidR="00321A50" w:rsidRDefault="00040160" w:rsidP="008F17C5">
      <w:pPr>
        <w:tabs>
          <w:tab w:val="left" w:pos="2450"/>
        </w:tabs>
        <w:spacing w:line="360" w:lineRule="auto"/>
        <w:jc w:val="both"/>
        <w:rPr>
          <w:rFonts w:ascii="Times New Roman" w:hAnsi="Times New Roman" w:cs="Times New Roman"/>
          <w:sz w:val="24"/>
        </w:rPr>
      </w:pPr>
      <w:r>
        <w:rPr>
          <w:rFonts w:ascii="Times New Roman" w:hAnsi="Times New Roman" w:cs="Times New Roman"/>
          <w:sz w:val="24"/>
        </w:rPr>
        <w:t xml:space="preserve">This is clear idea about the study on. I have presented this study report on the basis of working knowledge. </w:t>
      </w:r>
      <w:r w:rsidR="008251C5">
        <w:rPr>
          <w:rFonts w:ascii="Times New Roman" w:hAnsi="Times New Roman" w:cs="Times New Roman"/>
          <w:sz w:val="24"/>
        </w:rPr>
        <w:t>In first chapter</w:t>
      </w:r>
      <w:r w:rsidR="003818BD">
        <w:rPr>
          <w:rFonts w:ascii="Times New Roman" w:hAnsi="Times New Roman" w:cs="Times New Roman"/>
          <w:sz w:val="24"/>
        </w:rPr>
        <w:t xml:space="preserve">, I’ve discussed about introduction </w:t>
      </w:r>
      <w:r w:rsidR="00057FA2">
        <w:rPr>
          <w:rFonts w:ascii="Times New Roman" w:hAnsi="Times New Roman" w:cs="Times New Roman"/>
          <w:sz w:val="24"/>
        </w:rPr>
        <w:t>part of Green Banking its objective</w:t>
      </w:r>
      <w:r w:rsidR="0041050E">
        <w:rPr>
          <w:rFonts w:ascii="Times New Roman" w:hAnsi="Times New Roman" w:cs="Times New Roman"/>
          <w:sz w:val="24"/>
        </w:rPr>
        <w:t xml:space="preserve"> and limitation</w:t>
      </w:r>
      <w:r w:rsidR="00057FA2">
        <w:rPr>
          <w:rFonts w:ascii="Times New Roman" w:hAnsi="Times New Roman" w:cs="Times New Roman"/>
          <w:sz w:val="24"/>
        </w:rPr>
        <w:t>, in second chapter discussed about Green Bank and Green Banking. After that I’ve discussed about Green Financing, its direct green finance and indirect green finance. In forth chapter I’ve discussed also Budget Allocation and Budget Utilization</w:t>
      </w:r>
      <w:r w:rsidR="00AF2E96">
        <w:rPr>
          <w:rFonts w:ascii="Times New Roman" w:hAnsi="Times New Roman" w:cs="Times New Roman"/>
          <w:sz w:val="24"/>
        </w:rPr>
        <w:t xml:space="preserve"> in Green Finance</w:t>
      </w:r>
      <w:r w:rsidR="00057FA2">
        <w:rPr>
          <w:rFonts w:ascii="Times New Roman" w:hAnsi="Times New Roman" w:cs="Times New Roman"/>
          <w:sz w:val="24"/>
        </w:rPr>
        <w:t xml:space="preserve"> and annually comparison of budget utilization</w:t>
      </w:r>
      <w:r w:rsidR="00AF2E96">
        <w:rPr>
          <w:rFonts w:ascii="Times New Roman" w:hAnsi="Times New Roman" w:cs="Times New Roman"/>
          <w:sz w:val="24"/>
        </w:rPr>
        <w:t xml:space="preserve"> in green Finance</w:t>
      </w:r>
      <w:r w:rsidR="00057FA2">
        <w:rPr>
          <w:rFonts w:ascii="Times New Roman" w:hAnsi="Times New Roman" w:cs="Times New Roman"/>
          <w:sz w:val="24"/>
        </w:rPr>
        <w:t xml:space="preserve">. In last chapter there are some findings and </w:t>
      </w:r>
      <w:r w:rsidR="00C766EC">
        <w:rPr>
          <w:rFonts w:ascii="Times New Roman" w:hAnsi="Times New Roman" w:cs="Times New Roman"/>
          <w:sz w:val="24"/>
        </w:rPr>
        <w:t>trying to give some recommendations or suggestions. I have finished my study report work mainly on fifth chapters.</w:t>
      </w:r>
    </w:p>
    <w:p w:rsidR="00ED511A" w:rsidRPr="00ED511A" w:rsidRDefault="00ED511A" w:rsidP="00ED511A">
      <w:pPr>
        <w:tabs>
          <w:tab w:val="left" w:pos="2450"/>
        </w:tabs>
        <w:jc w:val="both"/>
        <w:rPr>
          <w:rFonts w:ascii="Times New Roman" w:hAnsi="Times New Roman" w:cs="Times New Roman"/>
          <w:b/>
          <w:sz w:val="24"/>
        </w:rPr>
      </w:pPr>
    </w:p>
    <w:p w:rsidR="00ED511A" w:rsidRPr="00CE5D5F" w:rsidRDefault="00ED511A" w:rsidP="00CE5D5F">
      <w:pPr>
        <w:tabs>
          <w:tab w:val="left" w:pos="2450"/>
        </w:tabs>
        <w:jc w:val="both"/>
        <w:rPr>
          <w:rFonts w:ascii="Times New Roman" w:hAnsi="Times New Roman" w:cs="Times New Roman"/>
          <w:sz w:val="24"/>
        </w:rPr>
      </w:pPr>
    </w:p>
    <w:p w:rsidR="00E05CA5" w:rsidRDefault="00E05CA5" w:rsidP="00E05CA5">
      <w:pPr>
        <w:tabs>
          <w:tab w:val="left" w:pos="2450"/>
        </w:tabs>
        <w:jc w:val="both"/>
        <w:rPr>
          <w:rFonts w:ascii="Times New Roman" w:hAnsi="Times New Roman" w:cs="Times New Roman"/>
          <w:sz w:val="28"/>
        </w:rPr>
      </w:pPr>
    </w:p>
    <w:p w:rsidR="0088541D" w:rsidRDefault="0088541D" w:rsidP="00E05CA5">
      <w:pPr>
        <w:tabs>
          <w:tab w:val="left" w:pos="2450"/>
        </w:tabs>
        <w:jc w:val="both"/>
        <w:rPr>
          <w:rFonts w:ascii="Times New Roman" w:hAnsi="Times New Roman" w:cs="Times New Roman"/>
          <w:sz w:val="28"/>
        </w:rPr>
      </w:pPr>
    </w:p>
    <w:p w:rsidR="00B51AF0" w:rsidRDefault="00B51AF0" w:rsidP="00B51AF0">
      <w:pPr>
        <w:spacing w:after="0"/>
        <w:rPr>
          <w:rFonts w:ascii="Times New Roman" w:hAnsi="Times New Roman" w:cs="Times New Roman"/>
          <w:sz w:val="28"/>
        </w:rPr>
      </w:pPr>
    </w:p>
    <w:p w:rsidR="009C5526" w:rsidRDefault="009C5526" w:rsidP="00B51AF0">
      <w:pPr>
        <w:spacing w:after="0"/>
        <w:jc w:val="center"/>
        <w:rPr>
          <w:rFonts w:ascii="Times New Roman" w:hAnsi="Times New Roman" w:cs="Times New Roman"/>
          <w:b/>
          <w:color w:val="FF00FF"/>
          <w:sz w:val="32"/>
          <w:u w:val="single"/>
        </w:rPr>
      </w:pPr>
    </w:p>
    <w:p w:rsidR="009C5526" w:rsidRDefault="009C5526" w:rsidP="00B51AF0">
      <w:pPr>
        <w:spacing w:after="0"/>
        <w:jc w:val="center"/>
        <w:rPr>
          <w:rFonts w:ascii="Times New Roman" w:hAnsi="Times New Roman" w:cs="Times New Roman"/>
          <w:b/>
          <w:color w:val="FF00FF"/>
          <w:sz w:val="32"/>
          <w:u w:val="single"/>
        </w:rPr>
      </w:pPr>
    </w:p>
    <w:p w:rsidR="00742BDB" w:rsidRPr="009F50E8" w:rsidRDefault="00742BDB" w:rsidP="00B51AF0">
      <w:pPr>
        <w:spacing w:after="0"/>
        <w:jc w:val="center"/>
        <w:rPr>
          <w:rFonts w:ascii="Times New Roman" w:hAnsi="Times New Roman" w:cs="Times New Roman"/>
          <w:b/>
          <w:color w:val="FF00FF"/>
          <w:sz w:val="32"/>
          <w:u w:val="single"/>
        </w:rPr>
      </w:pPr>
      <w:r w:rsidRPr="009F50E8">
        <w:rPr>
          <w:rFonts w:ascii="Times New Roman" w:hAnsi="Times New Roman" w:cs="Times New Roman"/>
          <w:b/>
          <w:color w:val="FF00FF"/>
          <w:sz w:val="32"/>
          <w:u w:val="single"/>
        </w:rPr>
        <w:lastRenderedPageBreak/>
        <w:t>Table of Contents</w:t>
      </w:r>
    </w:p>
    <w:tbl>
      <w:tblPr>
        <w:tblStyle w:val="MediumGrid2-Accent1"/>
        <w:tblW w:w="5000" w:type="pct"/>
        <w:tblLayout w:type="fixed"/>
        <w:tblLook w:val="0420" w:firstRow="1" w:lastRow="0" w:firstColumn="0" w:lastColumn="0" w:noHBand="0" w:noVBand="1"/>
      </w:tblPr>
      <w:tblGrid>
        <w:gridCol w:w="2556"/>
        <w:gridCol w:w="5339"/>
        <w:gridCol w:w="1348"/>
      </w:tblGrid>
      <w:tr w:rsidR="00742BDB" w:rsidRPr="00B55DD1" w:rsidTr="009F50E8">
        <w:trPr>
          <w:cnfStyle w:val="100000000000" w:firstRow="1" w:lastRow="0" w:firstColumn="0" w:lastColumn="0" w:oddVBand="0" w:evenVBand="0" w:oddHBand="0" w:evenHBand="0" w:firstRowFirstColumn="0" w:firstRowLastColumn="0" w:lastRowFirstColumn="0" w:lastRowLastColumn="0"/>
          <w:trHeight w:val="432"/>
        </w:trPr>
        <w:tc>
          <w:tcPr>
            <w:tcW w:w="1383" w:type="pct"/>
          </w:tcPr>
          <w:p w:rsidR="00742BDB" w:rsidRPr="009F50E8" w:rsidRDefault="00742BDB" w:rsidP="00911E26">
            <w:pPr>
              <w:rPr>
                <w:rFonts w:eastAsia="Times New Roman"/>
                <w:color w:val="0000FF"/>
                <w:sz w:val="28"/>
              </w:rPr>
            </w:pPr>
            <w:r w:rsidRPr="009F50E8">
              <w:rPr>
                <w:rFonts w:eastAsia="Times New Roman"/>
                <w:color w:val="0000FF"/>
                <w:sz w:val="28"/>
              </w:rPr>
              <w:t>Chapter</w:t>
            </w:r>
          </w:p>
        </w:tc>
        <w:tc>
          <w:tcPr>
            <w:tcW w:w="2888" w:type="pct"/>
            <w:noWrap/>
            <w:hideMark/>
          </w:tcPr>
          <w:p w:rsidR="00742BDB" w:rsidRPr="00DA3DAE" w:rsidRDefault="00742BDB" w:rsidP="00DA3DAE">
            <w:pPr>
              <w:jc w:val="center"/>
              <w:rPr>
                <w:rFonts w:eastAsia="Times New Roman"/>
                <w:bCs w:val="0"/>
                <w:color w:val="0000FF"/>
                <w:sz w:val="28"/>
              </w:rPr>
            </w:pPr>
            <w:r w:rsidRPr="00DA3DAE">
              <w:rPr>
                <w:rFonts w:eastAsia="Times New Roman"/>
                <w:bCs w:val="0"/>
                <w:color w:val="0000FF"/>
                <w:sz w:val="28"/>
              </w:rPr>
              <w:t>Content Name</w:t>
            </w:r>
          </w:p>
        </w:tc>
        <w:tc>
          <w:tcPr>
            <w:tcW w:w="729" w:type="pct"/>
            <w:noWrap/>
            <w:hideMark/>
          </w:tcPr>
          <w:p w:rsidR="00742BDB" w:rsidRPr="00DA3DAE" w:rsidRDefault="00742BDB" w:rsidP="00911E26">
            <w:pPr>
              <w:rPr>
                <w:rFonts w:eastAsia="Times New Roman"/>
                <w:bCs w:val="0"/>
                <w:color w:val="0000FF"/>
                <w:sz w:val="28"/>
              </w:rPr>
            </w:pPr>
            <w:r w:rsidRPr="00DA3DAE">
              <w:rPr>
                <w:rFonts w:eastAsia="Times New Roman"/>
                <w:bCs w:val="0"/>
                <w:color w:val="0000FF"/>
                <w:sz w:val="28"/>
              </w:rPr>
              <w:t>Page No.</w:t>
            </w:r>
          </w:p>
        </w:tc>
      </w:tr>
      <w:tr w:rsidR="000F2A3D"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val="restart"/>
          </w:tcPr>
          <w:p w:rsidR="009F50E8" w:rsidRDefault="009F50E8" w:rsidP="00801BB3">
            <w:pPr>
              <w:jc w:val="center"/>
              <w:rPr>
                <w:b/>
              </w:rPr>
            </w:pPr>
          </w:p>
          <w:p w:rsidR="009F50E8" w:rsidRDefault="009F50E8" w:rsidP="00801BB3">
            <w:pPr>
              <w:jc w:val="center"/>
              <w:rPr>
                <w:b/>
              </w:rPr>
            </w:pPr>
          </w:p>
          <w:p w:rsidR="009F50E8" w:rsidRDefault="009F50E8" w:rsidP="00801BB3">
            <w:pPr>
              <w:jc w:val="center"/>
              <w:rPr>
                <w:b/>
              </w:rPr>
            </w:pPr>
          </w:p>
          <w:p w:rsidR="009F50E8" w:rsidRDefault="009F50E8" w:rsidP="00801BB3">
            <w:pPr>
              <w:jc w:val="center"/>
              <w:rPr>
                <w:b/>
              </w:rPr>
            </w:pPr>
          </w:p>
          <w:p w:rsidR="009F50E8" w:rsidRDefault="009F50E8" w:rsidP="00801BB3">
            <w:pPr>
              <w:jc w:val="center"/>
              <w:rPr>
                <w:b/>
              </w:rPr>
            </w:pPr>
          </w:p>
          <w:p w:rsidR="009F50E8" w:rsidRDefault="009F50E8" w:rsidP="00801BB3">
            <w:pPr>
              <w:jc w:val="center"/>
              <w:rPr>
                <w:b/>
              </w:rPr>
            </w:pPr>
          </w:p>
          <w:p w:rsidR="009F50E8" w:rsidRDefault="009F50E8" w:rsidP="00801BB3">
            <w:pPr>
              <w:jc w:val="center"/>
              <w:rPr>
                <w:b/>
              </w:rPr>
            </w:pPr>
          </w:p>
          <w:p w:rsidR="000F2A3D" w:rsidRPr="00674533" w:rsidRDefault="000F2A3D" w:rsidP="00801BB3">
            <w:pPr>
              <w:jc w:val="center"/>
              <w:rPr>
                <w:b/>
              </w:rPr>
            </w:pPr>
            <w:r w:rsidRPr="00674533">
              <w:rPr>
                <w:b/>
              </w:rPr>
              <w:t>Introductory</w:t>
            </w:r>
          </w:p>
        </w:tc>
        <w:tc>
          <w:tcPr>
            <w:tcW w:w="2888" w:type="pct"/>
            <w:noWrap/>
            <w:hideMark/>
          </w:tcPr>
          <w:p w:rsidR="000F2A3D" w:rsidRPr="00095FC4" w:rsidRDefault="000F2A3D" w:rsidP="00911E26">
            <w:r w:rsidRPr="00095FC4">
              <w:t>Letter of Transmittal</w:t>
            </w:r>
          </w:p>
        </w:tc>
        <w:tc>
          <w:tcPr>
            <w:tcW w:w="729" w:type="pct"/>
            <w:noWrap/>
            <w:hideMark/>
          </w:tcPr>
          <w:p w:rsidR="000F2A3D" w:rsidRPr="00095FC4" w:rsidRDefault="005C0265" w:rsidP="00911E26">
            <w:pPr>
              <w:jc w:val="center"/>
              <w:rPr>
                <w:rFonts w:eastAsia="Times New Roman"/>
                <w:color w:val="000000"/>
              </w:rPr>
            </w:pPr>
            <w:r>
              <w:rPr>
                <w:rFonts w:eastAsia="Times New Roman"/>
                <w:color w:val="000000"/>
              </w:rPr>
              <w:t>I</w:t>
            </w:r>
          </w:p>
        </w:tc>
      </w:tr>
      <w:tr w:rsidR="000F2A3D" w:rsidRPr="00095FC4" w:rsidTr="009F50E8">
        <w:trPr>
          <w:trHeight w:val="432"/>
        </w:trPr>
        <w:tc>
          <w:tcPr>
            <w:tcW w:w="1383" w:type="pct"/>
            <w:vMerge/>
          </w:tcPr>
          <w:p w:rsidR="000F2A3D" w:rsidRPr="00095FC4" w:rsidRDefault="000F2A3D" w:rsidP="00911E26">
            <w:pPr>
              <w:rPr>
                <w:rFonts w:eastAsia="Times New Roman"/>
                <w:color w:val="000000"/>
              </w:rPr>
            </w:pPr>
          </w:p>
        </w:tc>
        <w:tc>
          <w:tcPr>
            <w:tcW w:w="2888" w:type="pct"/>
            <w:noWrap/>
            <w:hideMark/>
          </w:tcPr>
          <w:p w:rsidR="000F2A3D" w:rsidRPr="00095FC4" w:rsidRDefault="000F2A3D" w:rsidP="00911E26">
            <w:pPr>
              <w:rPr>
                <w:rFonts w:eastAsia="Times New Roman"/>
                <w:color w:val="000000"/>
              </w:rPr>
            </w:pPr>
            <w:r w:rsidRPr="00095FC4">
              <w:rPr>
                <w:rFonts w:eastAsia="Times New Roman"/>
                <w:color w:val="000000"/>
              </w:rPr>
              <w:t>Supervisor’s Declaration</w:t>
            </w:r>
          </w:p>
        </w:tc>
        <w:tc>
          <w:tcPr>
            <w:tcW w:w="729" w:type="pct"/>
            <w:noWrap/>
            <w:hideMark/>
          </w:tcPr>
          <w:p w:rsidR="000F2A3D" w:rsidRPr="00095FC4" w:rsidRDefault="005C0265" w:rsidP="00911E26">
            <w:pPr>
              <w:jc w:val="center"/>
              <w:rPr>
                <w:rFonts w:eastAsia="Times New Roman"/>
                <w:color w:val="000000"/>
              </w:rPr>
            </w:pPr>
            <w:r>
              <w:rPr>
                <w:rFonts w:eastAsia="Times New Roman"/>
                <w:color w:val="000000"/>
              </w:rPr>
              <w:t>II</w:t>
            </w:r>
          </w:p>
        </w:tc>
      </w:tr>
      <w:tr w:rsidR="000F2A3D"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0F2A3D" w:rsidRPr="00095FC4" w:rsidRDefault="000F2A3D" w:rsidP="00911E26">
            <w:pPr>
              <w:rPr>
                <w:rFonts w:eastAsia="Times New Roman"/>
                <w:color w:val="000000"/>
              </w:rPr>
            </w:pPr>
          </w:p>
        </w:tc>
        <w:tc>
          <w:tcPr>
            <w:tcW w:w="2888" w:type="pct"/>
            <w:noWrap/>
            <w:hideMark/>
          </w:tcPr>
          <w:p w:rsidR="000F2A3D" w:rsidRPr="00095FC4" w:rsidRDefault="000F2A3D" w:rsidP="00911E26">
            <w:pPr>
              <w:rPr>
                <w:rFonts w:eastAsia="Times New Roman"/>
                <w:color w:val="000000"/>
              </w:rPr>
            </w:pPr>
            <w:r w:rsidRPr="00095FC4">
              <w:rPr>
                <w:rFonts w:eastAsia="Times New Roman"/>
                <w:color w:val="000000"/>
              </w:rPr>
              <w:t>Student’s Declaration</w:t>
            </w:r>
          </w:p>
        </w:tc>
        <w:tc>
          <w:tcPr>
            <w:tcW w:w="729" w:type="pct"/>
            <w:noWrap/>
            <w:hideMark/>
          </w:tcPr>
          <w:p w:rsidR="000F2A3D" w:rsidRPr="00095FC4" w:rsidRDefault="005C0265" w:rsidP="00911E26">
            <w:pPr>
              <w:jc w:val="center"/>
              <w:rPr>
                <w:rFonts w:eastAsia="Times New Roman"/>
                <w:color w:val="000000"/>
              </w:rPr>
            </w:pPr>
            <w:r>
              <w:rPr>
                <w:rFonts w:eastAsia="Times New Roman"/>
                <w:color w:val="000000"/>
              </w:rPr>
              <w:t>III</w:t>
            </w:r>
          </w:p>
        </w:tc>
      </w:tr>
      <w:tr w:rsidR="000F2A3D" w:rsidRPr="00095FC4" w:rsidTr="009F50E8">
        <w:trPr>
          <w:trHeight w:val="432"/>
        </w:trPr>
        <w:tc>
          <w:tcPr>
            <w:tcW w:w="1383" w:type="pct"/>
            <w:vMerge/>
          </w:tcPr>
          <w:p w:rsidR="000F2A3D" w:rsidRPr="00095FC4" w:rsidRDefault="000F2A3D" w:rsidP="00911E26">
            <w:pPr>
              <w:rPr>
                <w:rFonts w:eastAsia="Times New Roman"/>
                <w:color w:val="000000"/>
              </w:rPr>
            </w:pPr>
          </w:p>
        </w:tc>
        <w:tc>
          <w:tcPr>
            <w:tcW w:w="2888" w:type="pct"/>
            <w:noWrap/>
            <w:hideMark/>
          </w:tcPr>
          <w:p w:rsidR="000F2A3D" w:rsidRPr="00095FC4" w:rsidRDefault="000F2A3D" w:rsidP="00911E26">
            <w:pPr>
              <w:rPr>
                <w:rFonts w:eastAsia="Times New Roman"/>
                <w:color w:val="000000"/>
              </w:rPr>
            </w:pPr>
            <w:r w:rsidRPr="00095FC4">
              <w:rPr>
                <w:rFonts w:eastAsia="Times New Roman"/>
                <w:color w:val="000000"/>
              </w:rPr>
              <w:t>Acknowledgement</w:t>
            </w:r>
          </w:p>
        </w:tc>
        <w:tc>
          <w:tcPr>
            <w:tcW w:w="729" w:type="pct"/>
            <w:noWrap/>
            <w:hideMark/>
          </w:tcPr>
          <w:p w:rsidR="000F2A3D" w:rsidRPr="00095FC4" w:rsidRDefault="005C0265" w:rsidP="00911E26">
            <w:pPr>
              <w:jc w:val="center"/>
              <w:rPr>
                <w:rFonts w:eastAsia="Times New Roman"/>
                <w:color w:val="000000"/>
              </w:rPr>
            </w:pPr>
            <w:r>
              <w:rPr>
                <w:rFonts w:eastAsia="Times New Roman"/>
                <w:color w:val="000000"/>
              </w:rPr>
              <w:t>IV</w:t>
            </w:r>
          </w:p>
        </w:tc>
      </w:tr>
      <w:tr w:rsidR="000F2A3D"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0F2A3D" w:rsidRPr="00095FC4" w:rsidRDefault="000F2A3D" w:rsidP="00911E26"/>
        </w:tc>
        <w:tc>
          <w:tcPr>
            <w:tcW w:w="2888" w:type="pct"/>
            <w:noWrap/>
            <w:hideMark/>
          </w:tcPr>
          <w:p w:rsidR="000F2A3D" w:rsidRPr="00095FC4" w:rsidRDefault="000F2A3D" w:rsidP="00911E26">
            <w:pPr>
              <w:rPr>
                <w:rFonts w:eastAsia="Times New Roman"/>
                <w:color w:val="000000"/>
              </w:rPr>
            </w:pPr>
            <w:r w:rsidRPr="00095FC4">
              <w:rPr>
                <w:rFonts w:eastAsia="Times New Roman"/>
                <w:color w:val="000000"/>
              </w:rPr>
              <w:t>Executive Summary</w:t>
            </w:r>
          </w:p>
        </w:tc>
        <w:tc>
          <w:tcPr>
            <w:tcW w:w="729" w:type="pct"/>
            <w:noWrap/>
            <w:hideMark/>
          </w:tcPr>
          <w:p w:rsidR="000F2A3D" w:rsidRPr="00095FC4" w:rsidRDefault="005C0265" w:rsidP="00911E26">
            <w:pPr>
              <w:jc w:val="center"/>
              <w:rPr>
                <w:rFonts w:eastAsia="Times New Roman"/>
                <w:color w:val="000000"/>
              </w:rPr>
            </w:pPr>
            <w:r>
              <w:rPr>
                <w:rFonts w:eastAsia="Times New Roman"/>
                <w:color w:val="000000"/>
              </w:rPr>
              <w:t>V</w:t>
            </w:r>
          </w:p>
        </w:tc>
      </w:tr>
      <w:tr w:rsidR="000F2A3D" w:rsidRPr="00095FC4" w:rsidTr="009F50E8">
        <w:trPr>
          <w:trHeight w:val="432"/>
        </w:trPr>
        <w:tc>
          <w:tcPr>
            <w:tcW w:w="1383" w:type="pct"/>
            <w:vMerge/>
          </w:tcPr>
          <w:p w:rsidR="000F2A3D" w:rsidRPr="00095FC4" w:rsidRDefault="000F2A3D" w:rsidP="00911E26"/>
        </w:tc>
        <w:tc>
          <w:tcPr>
            <w:tcW w:w="2888" w:type="pct"/>
            <w:noWrap/>
            <w:hideMark/>
          </w:tcPr>
          <w:p w:rsidR="000F2A3D" w:rsidRPr="00095FC4" w:rsidRDefault="000F2A3D" w:rsidP="00911E26">
            <w:pPr>
              <w:rPr>
                <w:rFonts w:eastAsia="Times New Roman"/>
                <w:color w:val="000000"/>
              </w:rPr>
            </w:pPr>
            <w:r>
              <w:rPr>
                <w:rFonts w:eastAsia="Times New Roman"/>
                <w:color w:val="000000"/>
              </w:rPr>
              <w:t>Acronyms</w:t>
            </w:r>
          </w:p>
        </w:tc>
        <w:tc>
          <w:tcPr>
            <w:tcW w:w="729" w:type="pct"/>
            <w:noWrap/>
            <w:hideMark/>
          </w:tcPr>
          <w:p w:rsidR="000F2A3D" w:rsidRPr="00095FC4" w:rsidRDefault="005C0265" w:rsidP="00911E26">
            <w:pPr>
              <w:jc w:val="center"/>
              <w:rPr>
                <w:rFonts w:eastAsia="Times New Roman"/>
                <w:color w:val="000000"/>
              </w:rPr>
            </w:pPr>
            <w:r>
              <w:rPr>
                <w:rFonts w:eastAsia="Times New Roman"/>
                <w:color w:val="000000"/>
              </w:rPr>
              <w:t>VIII</w:t>
            </w:r>
          </w:p>
        </w:tc>
      </w:tr>
      <w:tr w:rsidR="000F2A3D"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0F2A3D" w:rsidRPr="00095FC4" w:rsidRDefault="000F2A3D" w:rsidP="00911E26"/>
        </w:tc>
        <w:tc>
          <w:tcPr>
            <w:tcW w:w="2888" w:type="pct"/>
            <w:noWrap/>
            <w:hideMark/>
          </w:tcPr>
          <w:p w:rsidR="000F2A3D" w:rsidRPr="00095FC4" w:rsidRDefault="000F2A3D" w:rsidP="00911E26">
            <w:pPr>
              <w:rPr>
                <w:rFonts w:eastAsia="Times New Roman"/>
                <w:color w:val="000000"/>
              </w:rPr>
            </w:pPr>
            <w:r>
              <w:rPr>
                <w:rFonts w:eastAsia="Times New Roman"/>
                <w:color w:val="000000"/>
              </w:rPr>
              <w:t>List of Tables</w:t>
            </w:r>
          </w:p>
        </w:tc>
        <w:tc>
          <w:tcPr>
            <w:tcW w:w="729" w:type="pct"/>
            <w:noWrap/>
            <w:hideMark/>
          </w:tcPr>
          <w:p w:rsidR="000F2A3D" w:rsidRPr="00095FC4" w:rsidRDefault="005C0265" w:rsidP="00911E26">
            <w:pPr>
              <w:jc w:val="center"/>
              <w:rPr>
                <w:rFonts w:eastAsia="Times New Roman"/>
                <w:color w:val="000000"/>
              </w:rPr>
            </w:pPr>
            <w:r>
              <w:rPr>
                <w:rFonts w:eastAsia="Times New Roman"/>
                <w:color w:val="000000"/>
              </w:rPr>
              <w:t>I</w:t>
            </w:r>
            <w:r w:rsidR="000F2A3D">
              <w:rPr>
                <w:rFonts w:eastAsia="Times New Roman"/>
                <w:color w:val="000000"/>
              </w:rPr>
              <w:t>X</w:t>
            </w:r>
          </w:p>
        </w:tc>
      </w:tr>
      <w:tr w:rsidR="000F2A3D" w:rsidRPr="00095FC4" w:rsidTr="009F50E8">
        <w:trPr>
          <w:trHeight w:val="432"/>
        </w:trPr>
        <w:tc>
          <w:tcPr>
            <w:tcW w:w="1383" w:type="pct"/>
            <w:vMerge/>
          </w:tcPr>
          <w:p w:rsidR="000F2A3D" w:rsidRPr="00095FC4" w:rsidRDefault="000F2A3D" w:rsidP="00911E26"/>
        </w:tc>
        <w:tc>
          <w:tcPr>
            <w:tcW w:w="2888" w:type="pct"/>
            <w:noWrap/>
            <w:hideMark/>
          </w:tcPr>
          <w:p w:rsidR="000F2A3D" w:rsidRPr="00095FC4" w:rsidRDefault="000F2A3D" w:rsidP="00911E26">
            <w:pPr>
              <w:rPr>
                <w:rFonts w:eastAsia="Times New Roman"/>
                <w:color w:val="000000"/>
              </w:rPr>
            </w:pPr>
            <w:r>
              <w:rPr>
                <w:rFonts w:eastAsia="Times New Roman"/>
                <w:color w:val="000000"/>
              </w:rPr>
              <w:t>List of Graphs</w:t>
            </w:r>
          </w:p>
        </w:tc>
        <w:tc>
          <w:tcPr>
            <w:tcW w:w="729" w:type="pct"/>
            <w:noWrap/>
            <w:hideMark/>
          </w:tcPr>
          <w:p w:rsidR="000F2A3D" w:rsidRPr="00095FC4" w:rsidRDefault="000F2A3D" w:rsidP="00911E26">
            <w:pPr>
              <w:jc w:val="center"/>
              <w:rPr>
                <w:rFonts w:eastAsia="Times New Roman"/>
                <w:color w:val="000000"/>
              </w:rPr>
            </w:pPr>
            <w:r>
              <w:rPr>
                <w:rFonts w:eastAsia="Times New Roman"/>
                <w:color w:val="000000"/>
              </w:rPr>
              <w:t>X</w:t>
            </w:r>
          </w:p>
        </w:tc>
      </w:tr>
      <w:tr w:rsidR="000F2A3D"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0F2A3D" w:rsidRPr="00095FC4" w:rsidRDefault="000F2A3D" w:rsidP="00911E26"/>
        </w:tc>
        <w:tc>
          <w:tcPr>
            <w:tcW w:w="2888" w:type="pct"/>
            <w:noWrap/>
            <w:hideMark/>
          </w:tcPr>
          <w:p w:rsidR="000F2A3D" w:rsidRDefault="000F2A3D" w:rsidP="00911E26">
            <w:pPr>
              <w:rPr>
                <w:rFonts w:eastAsia="Times New Roman"/>
                <w:color w:val="000000"/>
              </w:rPr>
            </w:pPr>
          </w:p>
        </w:tc>
        <w:tc>
          <w:tcPr>
            <w:tcW w:w="729" w:type="pct"/>
            <w:noWrap/>
            <w:hideMark/>
          </w:tcPr>
          <w:p w:rsidR="000F2A3D" w:rsidRDefault="000F2A3D" w:rsidP="00911E26">
            <w:pPr>
              <w:jc w:val="center"/>
              <w:rPr>
                <w:rFonts w:eastAsia="Times New Roman"/>
                <w:color w:val="000000"/>
              </w:rPr>
            </w:pPr>
          </w:p>
        </w:tc>
      </w:tr>
      <w:tr w:rsidR="000F2A3D" w:rsidRPr="00095FC4" w:rsidTr="009F50E8">
        <w:trPr>
          <w:trHeight w:val="432"/>
        </w:trPr>
        <w:tc>
          <w:tcPr>
            <w:tcW w:w="1383" w:type="pct"/>
            <w:vMerge w:val="restart"/>
          </w:tcPr>
          <w:p w:rsidR="009F50E8" w:rsidRDefault="009F50E8" w:rsidP="00801BB3">
            <w:pPr>
              <w:jc w:val="center"/>
              <w:rPr>
                <w:rFonts w:eastAsia="Times New Roman"/>
                <w:b/>
                <w:color w:val="000000"/>
              </w:rPr>
            </w:pPr>
          </w:p>
          <w:p w:rsidR="009F50E8" w:rsidRDefault="009F50E8" w:rsidP="00801BB3">
            <w:pPr>
              <w:jc w:val="center"/>
              <w:rPr>
                <w:rFonts w:eastAsia="Times New Roman"/>
                <w:b/>
                <w:color w:val="000000"/>
              </w:rPr>
            </w:pPr>
          </w:p>
          <w:p w:rsidR="009F50E8" w:rsidRDefault="009F50E8" w:rsidP="00801BB3">
            <w:pPr>
              <w:jc w:val="center"/>
              <w:rPr>
                <w:rFonts w:eastAsia="Times New Roman"/>
                <w:b/>
                <w:color w:val="000000"/>
              </w:rPr>
            </w:pPr>
          </w:p>
          <w:p w:rsidR="009F50E8" w:rsidRDefault="009F50E8" w:rsidP="00801BB3">
            <w:pPr>
              <w:jc w:val="center"/>
              <w:rPr>
                <w:rFonts w:eastAsia="Times New Roman"/>
                <w:b/>
                <w:color w:val="000000"/>
              </w:rPr>
            </w:pPr>
          </w:p>
          <w:p w:rsidR="009F50E8" w:rsidRDefault="009F50E8" w:rsidP="00801BB3">
            <w:pPr>
              <w:jc w:val="center"/>
              <w:rPr>
                <w:rFonts w:eastAsia="Times New Roman"/>
                <w:b/>
                <w:color w:val="000000"/>
              </w:rPr>
            </w:pPr>
          </w:p>
          <w:p w:rsidR="000F2A3D" w:rsidRPr="00095FC4" w:rsidRDefault="000F2A3D" w:rsidP="009F50E8">
            <w:pPr>
              <w:jc w:val="center"/>
              <w:rPr>
                <w:rFonts w:eastAsia="Times New Roman"/>
                <w:b/>
                <w:color w:val="000000"/>
              </w:rPr>
            </w:pPr>
            <w:r w:rsidRPr="00095FC4">
              <w:rPr>
                <w:rFonts w:eastAsia="Times New Roman"/>
                <w:b/>
                <w:color w:val="000000"/>
              </w:rPr>
              <w:t>Chapter 1</w:t>
            </w:r>
          </w:p>
        </w:tc>
        <w:tc>
          <w:tcPr>
            <w:tcW w:w="2888" w:type="pct"/>
            <w:noWrap/>
            <w:hideMark/>
          </w:tcPr>
          <w:p w:rsidR="000F2A3D" w:rsidRPr="00095FC4" w:rsidRDefault="000F2A3D" w:rsidP="00911E26">
            <w:pPr>
              <w:rPr>
                <w:rFonts w:eastAsia="Times New Roman"/>
                <w:b/>
                <w:color w:val="000000"/>
              </w:rPr>
            </w:pPr>
            <w:r>
              <w:rPr>
                <w:rFonts w:eastAsia="Times New Roman"/>
                <w:b/>
                <w:color w:val="000000"/>
              </w:rPr>
              <w:t>Introduction Part</w:t>
            </w:r>
          </w:p>
        </w:tc>
        <w:tc>
          <w:tcPr>
            <w:tcW w:w="729" w:type="pct"/>
            <w:noWrap/>
            <w:hideMark/>
          </w:tcPr>
          <w:p w:rsidR="000F2A3D" w:rsidRPr="00095FC4" w:rsidRDefault="000F2A3D" w:rsidP="00262300">
            <w:pPr>
              <w:jc w:val="center"/>
              <w:rPr>
                <w:rFonts w:eastAsia="Times New Roman"/>
                <w:b/>
                <w:color w:val="000000"/>
              </w:rPr>
            </w:pPr>
            <w:r>
              <w:rPr>
                <w:rFonts w:eastAsia="Times New Roman"/>
                <w:b/>
                <w:color w:val="000000"/>
              </w:rPr>
              <w:t>1 - 4</w:t>
            </w:r>
          </w:p>
        </w:tc>
      </w:tr>
      <w:tr w:rsidR="000F2A3D"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0F2A3D" w:rsidRPr="00095FC4" w:rsidRDefault="000F2A3D" w:rsidP="00911E26">
            <w:pPr>
              <w:rPr>
                <w:rFonts w:eastAsia="Times New Roman"/>
                <w:color w:val="000000"/>
              </w:rPr>
            </w:pPr>
          </w:p>
        </w:tc>
        <w:tc>
          <w:tcPr>
            <w:tcW w:w="2888" w:type="pct"/>
            <w:noWrap/>
            <w:hideMark/>
          </w:tcPr>
          <w:p w:rsidR="000F2A3D" w:rsidRPr="00742BDB" w:rsidRDefault="000F2A3D" w:rsidP="00493B7E">
            <w:pPr>
              <w:pStyle w:val="ListParagraph"/>
              <w:numPr>
                <w:ilvl w:val="1"/>
                <w:numId w:val="1"/>
              </w:numPr>
              <w:rPr>
                <w:rFonts w:eastAsia="Times New Roman"/>
                <w:color w:val="000000"/>
              </w:rPr>
            </w:pPr>
            <w:r>
              <w:rPr>
                <w:rFonts w:eastAsia="Times New Roman"/>
                <w:color w:val="000000"/>
              </w:rPr>
              <w:t>Introduction</w:t>
            </w:r>
          </w:p>
        </w:tc>
        <w:tc>
          <w:tcPr>
            <w:tcW w:w="729" w:type="pct"/>
            <w:noWrap/>
            <w:hideMark/>
          </w:tcPr>
          <w:p w:rsidR="000F2A3D" w:rsidRPr="00095FC4" w:rsidRDefault="000F2A3D" w:rsidP="00493B7E">
            <w:pPr>
              <w:jc w:val="center"/>
              <w:rPr>
                <w:rFonts w:eastAsia="Times New Roman"/>
                <w:color w:val="000000"/>
              </w:rPr>
            </w:pPr>
            <w:r w:rsidRPr="00095FC4">
              <w:rPr>
                <w:rFonts w:eastAsia="Times New Roman"/>
                <w:color w:val="000000"/>
              </w:rPr>
              <w:t>2</w:t>
            </w:r>
          </w:p>
        </w:tc>
      </w:tr>
      <w:tr w:rsidR="000F2A3D" w:rsidRPr="00095FC4" w:rsidTr="009F50E8">
        <w:trPr>
          <w:trHeight w:val="432"/>
        </w:trPr>
        <w:tc>
          <w:tcPr>
            <w:tcW w:w="1383" w:type="pct"/>
            <w:vMerge/>
          </w:tcPr>
          <w:p w:rsidR="000F2A3D" w:rsidRPr="00095FC4" w:rsidRDefault="000F2A3D" w:rsidP="00911E26">
            <w:pPr>
              <w:rPr>
                <w:rFonts w:eastAsia="Times New Roman"/>
                <w:color w:val="000000"/>
              </w:rPr>
            </w:pPr>
          </w:p>
        </w:tc>
        <w:tc>
          <w:tcPr>
            <w:tcW w:w="2888" w:type="pct"/>
            <w:noWrap/>
            <w:hideMark/>
          </w:tcPr>
          <w:p w:rsidR="000F2A3D" w:rsidRPr="00742BDB" w:rsidRDefault="000F2A3D" w:rsidP="00493B7E">
            <w:pPr>
              <w:pStyle w:val="ListParagraph"/>
              <w:numPr>
                <w:ilvl w:val="1"/>
                <w:numId w:val="1"/>
              </w:numPr>
              <w:rPr>
                <w:rFonts w:eastAsia="Times New Roman"/>
                <w:color w:val="000000"/>
              </w:rPr>
            </w:pPr>
            <w:r>
              <w:rPr>
                <w:rFonts w:eastAsia="Times New Roman"/>
                <w:color w:val="000000"/>
              </w:rPr>
              <w:t>Objectives of the Report</w:t>
            </w:r>
          </w:p>
        </w:tc>
        <w:tc>
          <w:tcPr>
            <w:tcW w:w="729" w:type="pct"/>
            <w:noWrap/>
            <w:hideMark/>
          </w:tcPr>
          <w:p w:rsidR="000F2A3D" w:rsidRPr="00095FC4" w:rsidRDefault="000F2A3D" w:rsidP="00493B7E">
            <w:pPr>
              <w:jc w:val="center"/>
              <w:rPr>
                <w:rFonts w:eastAsia="Times New Roman"/>
                <w:color w:val="000000"/>
              </w:rPr>
            </w:pPr>
            <w:r>
              <w:rPr>
                <w:rFonts w:eastAsia="Times New Roman"/>
                <w:color w:val="000000"/>
              </w:rPr>
              <w:t>3</w:t>
            </w:r>
          </w:p>
        </w:tc>
      </w:tr>
      <w:tr w:rsidR="000F2A3D"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0F2A3D" w:rsidRPr="00095FC4" w:rsidRDefault="000F2A3D" w:rsidP="00911E26">
            <w:pPr>
              <w:rPr>
                <w:rFonts w:eastAsia="Times New Roman"/>
                <w:color w:val="000000"/>
              </w:rPr>
            </w:pPr>
          </w:p>
        </w:tc>
        <w:tc>
          <w:tcPr>
            <w:tcW w:w="2888" w:type="pct"/>
            <w:noWrap/>
            <w:hideMark/>
          </w:tcPr>
          <w:p w:rsidR="000F2A3D" w:rsidRPr="00742BDB" w:rsidRDefault="000F2A3D" w:rsidP="00493B7E">
            <w:pPr>
              <w:pStyle w:val="ListParagraph"/>
              <w:numPr>
                <w:ilvl w:val="1"/>
                <w:numId w:val="1"/>
              </w:numPr>
              <w:rPr>
                <w:rFonts w:eastAsia="Times New Roman"/>
                <w:color w:val="000000"/>
              </w:rPr>
            </w:pPr>
            <w:r>
              <w:rPr>
                <w:rFonts w:eastAsia="Times New Roman"/>
                <w:color w:val="000000"/>
              </w:rPr>
              <w:t>Methodology of the Report</w:t>
            </w:r>
          </w:p>
        </w:tc>
        <w:tc>
          <w:tcPr>
            <w:tcW w:w="729" w:type="pct"/>
            <w:noWrap/>
            <w:hideMark/>
          </w:tcPr>
          <w:p w:rsidR="000F2A3D" w:rsidRPr="00095FC4" w:rsidRDefault="000F2A3D" w:rsidP="00493B7E">
            <w:pPr>
              <w:jc w:val="center"/>
              <w:rPr>
                <w:rFonts w:eastAsia="Times New Roman"/>
                <w:color w:val="000000"/>
              </w:rPr>
            </w:pPr>
            <w:r>
              <w:rPr>
                <w:rFonts w:eastAsia="Times New Roman"/>
                <w:color w:val="000000"/>
              </w:rPr>
              <w:t>3</w:t>
            </w:r>
          </w:p>
        </w:tc>
      </w:tr>
      <w:tr w:rsidR="000F2A3D" w:rsidRPr="00095FC4" w:rsidTr="009F50E8">
        <w:trPr>
          <w:trHeight w:val="432"/>
        </w:trPr>
        <w:tc>
          <w:tcPr>
            <w:tcW w:w="1383" w:type="pct"/>
            <w:vMerge/>
          </w:tcPr>
          <w:p w:rsidR="000F2A3D" w:rsidRPr="00095FC4" w:rsidRDefault="000F2A3D" w:rsidP="00911E26">
            <w:pPr>
              <w:rPr>
                <w:rFonts w:eastAsia="Times New Roman"/>
                <w:color w:val="000000"/>
              </w:rPr>
            </w:pPr>
          </w:p>
        </w:tc>
        <w:tc>
          <w:tcPr>
            <w:tcW w:w="2888" w:type="pct"/>
            <w:noWrap/>
            <w:hideMark/>
          </w:tcPr>
          <w:p w:rsidR="000F2A3D" w:rsidRPr="00742BDB" w:rsidRDefault="000F2A3D" w:rsidP="00493B7E">
            <w:pPr>
              <w:pStyle w:val="ListParagraph"/>
              <w:numPr>
                <w:ilvl w:val="1"/>
                <w:numId w:val="1"/>
              </w:numPr>
              <w:rPr>
                <w:rFonts w:eastAsia="Times New Roman"/>
                <w:color w:val="000000"/>
              </w:rPr>
            </w:pPr>
            <w:r>
              <w:rPr>
                <w:rFonts w:eastAsia="Times New Roman"/>
                <w:color w:val="000000"/>
              </w:rPr>
              <w:t>Literature Review</w:t>
            </w:r>
          </w:p>
        </w:tc>
        <w:tc>
          <w:tcPr>
            <w:tcW w:w="729" w:type="pct"/>
            <w:noWrap/>
            <w:hideMark/>
          </w:tcPr>
          <w:p w:rsidR="000F2A3D" w:rsidRPr="00095FC4" w:rsidRDefault="000F2A3D" w:rsidP="00493B7E">
            <w:pPr>
              <w:jc w:val="center"/>
              <w:rPr>
                <w:rFonts w:eastAsia="Times New Roman"/>
                <w:color w:val="000000"/>
              </w:rPr>
            </w:pPr>
            <w:r w:rsidRPr="00095FC4">
              <w:rPr>
                <w:rFonts w:eastAsia="Times New Roman"/>
                <w:color w:val="000000"/>
              </w:rPr>
              <w:t>3</w:t>
            </w:r>
            <w:r>
              <w:rPr>
                <w:rFonts w:eastAsia="Times New Roman"/>
                <w:color w:val="000000"/>
              </w:rPr>
              <w:t xml:space="preserve"> - 4</w:t>
            </w:r>
          </w:p>
        </w:tc>
      </w:tr>
      <w:tr w:rsidR="000F2A3D"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0F2A3D" w:rsidRPr="00095FC4" w:rsidRDefault="000F2A3D" w:rsidP="00911E26">
            <w:pPr>
              <w:rPr>
                <w:rFonts w:eastAsia="Times New Roman"/>
                <w:color w:val="000000"/>
              </w:rPr>
            </w:pPr>
          </w:p>
        </w:tc>
        <w:tc>
          <w:tcPr>
            <w:tcW w:w="2888" w:type="pct"/>
            <w:noWrap/>
            <w:hideMark/>
          </w:tcPr>
          <w:p w:rsidR="000F2A3D" w:rsidRPr="00742BDB" w:rsidRDefault="000F2A3D" w:rsidP="00493B7E">
            <w:pPr>
              <w:pStyle w:val="ListParagraph"/>
              <w:numPr>
                <w:ilvl w:val="1"/>
                <w:numId w:val="1"/>
              </w:numPr>
              <w:rPr>
                <w:rFonts w:eastAsia="Times New Roman"/>
                <w:color w:val="000000"/>
              </w:rPr>
            </w:pPr>
            <w:r>
              <w:rPr>
                <w:rFonts w:eastAsia="Times New Roman"/>
                <w:color w:val="000000"/>
              </w:rPr>
              <w:t>Limitation of the Study</w:t>
            </w:r>
          </w:p>
        </w:tc>
        <w:tc>
          <w:tcPr>
            <w:tcW w:w="729" w:type="pct"/>
            <w:noWrap/>
            <w:hideMark/>
          </w:tcPr>
          <w:p w:rsidR="000F2A3D" w:rsidRPr="00095FC4" w:rsidRDefault="000F2A3D" w:rsidP="00493B7E">
            <w:pPr>
              <w:jc w:val="center"/>
              <w:rPr>
                <w:rFonts w:eastAsia="Times New Roman"/>
                <w:color w:val="000000"/>
              </w:rPr>
            </w:pPr>
            <w:r>
              <w:rPr>
                <w:rFonts w:eastAsia="Times New Roman"/>
                <w:color w:val="000000"/>
              </w:rPr>
              <w:t>4</w:t>
            </w:r>
          </w:p>
        </w:tc>
      </w:tr>
      <w:tr w:rsidR="000F2A3D" w:rsidRPr="00095FC4" w:rsidTr="009F50E8">
        <w:trPr>
          <w:trHeight w:val="432"/>
        </w:trPr>
        <w:tc>
          <w:tcPr>
            <w:tcW w:w="1383" w:type="pct"/>
            <w:vMerge/>
          </w:tcPr>
          <w:p w:rsidR="000F2A3D" w:rsidRPr="00095FC4" w:rsidRDefault="000F2A3D" w:rsidP="00911E26">
            <w:pPr>
              <w:rPr>
                <w:rFonts w:eastAsia="Times New Roman"/>
                <w:color w:val="000000"/>
              </w:rPr>
            </w:pPr>
          </w:p>
        </w:tc>
        <w:tc>
          <w:tcPr>
            <w:tcW w:w="2888" w:type="pct"/>
            <w:noWrap/>
            <w:hideMark/>
          </w:tcPr>
          <w:p w:rsidR="000F2A3D" w:rsidRDefault="000F2A3D" w:rsidP="000F2A3D">
            <w:pPr>
              <w:pStyle w:val="ListParagraph"/>
              <w:ind w:left="360"/>
              <w:rPr>
                <w:rFonts w:eastAsia="Times New Roman"/>
                <w:color w:val="000000"/>
              </w:rPr>
            </w:pPr>
          </w:p>
        </w:tc>
        <w:tc>
          <w:tcPr>
            <w:tcW w:w="729" w:type="pct"/>
            <w:noWrap/>
            <w:hideMark/>
          </w:tcPr>
          <w:p w:rsidR="000F2A3D" w:rsidRDefault="000F2A3D" w:rsidP="00493B7E">
            <w:pPr>
              <w:jc w:val="center"/>
              <w:rPr>
                <w:rFonts w:eastAsia="Times New Roman"/>
                <w:color w:val="000000"/>
              </w:rPr>
            </w:pPr>
          </w:p>
        </w:tc>
      </w:tr>
      <w:tr w:rsidR="009C5526"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val="restart"/>
          </w:tcPr>
          <w:p w:rsidR="009C5526" w:rsidRDefault="009C5526" w:rsidP="00801BB3">
            <w:pPr>
              <w:jc w:val="center"/>
              <w:rPr>
                <w:rFonts w:eastAsia="Times New Roman"/>
                <w:b/>
                <w:color w:val="000000"/>
              </w:rPr>
            </w:pPr>
          </w:p>
          <w:p w:rsidR="009C5526" w:rsidRDefault="009C5526" w:rsidP="00801BB3">
            <w:pPr>
              <w:jc w:val="center"/>
              <w:rPr>
                <w:rFonts w:eastAsia="Times New Roman"/>
                <w:b/>
                <w:color w:val="000000"/>
              </w:rPr>
            </w:pPr>
          </w:p>
          <w:p w:rsidR="009C5526" w:rsidRDefault="009C5526" w:rsidP="00801BB3">
            <w:pPr>
              <w:jc w:val="center"/>
              <w:rPr>
                <w:rFonts w:eastAsia="Times New Roman"/>
                <w:b/>
                <w:color w:val="000000"/>
              </w:rPr>
            </w:pPr>
          </w:p>
          <w:p w:rsidR="009C5526" w:rsidRDefault="009C5526" w:rsidP="00801BB3">
            <w:pPr>
              <w:jc w:val="center"/>
              <w:rPr>
                <w:rFonts w:eastAsia="Times New Roman"/>
                <w:b/>
                <w:color w:val="000000"/>
              </w:rPr>
            </w:pPr>
          </w:p>
          <w:p w:rsidR="009C5526" w:rsidRDefault="009C5526" w:rsidP="00801BB3">
            <w:pPr>
              <w:jc w:val="center"/>
              <w:rPr>
                <w:rFonts w:eastAsia="Times New Roman"/>
                <w:b/>
                <w:color w:val="000000"/>
              </w:rPr>
            </w:pPr>
          </w:p>
          <w:p w:rsidR="009C5526" w:rsidRDefault="009C5526" w:rsidP="00801BB3">
            <w:pPr>
              <w:jc w:val="center"/>
              <w:rPr>
                <w:rFonts w:eastAsia="Times New Roman"/>
                <w:b/>
                <w:color w:val="000000"/>
              </w:rPr>
            </w:pPr>
          </w:p>
          <w:p w:rsidR="009C5526" w:rsidRDefault="009C5526" w:rsidP="00801BB3">
            <w:pPr>
              <w:jc w:val="center"/>
              <w:rPr>
                <w:rFonts w:eastAsia="Times New Roman"/>
                <w:b/>
                <w:color w:val="000000"/>
              </w:rPr>
            </w:pPr>
          </w:p>
          <w:p w:rsidR="009C5526" w:rsidRDefault="009C5526" w:rsidP="00801BB3">
            <w:pPr>
              <w:jc w:val="center"/>
              <w:rPr>
                <w:rFonts w:eastAsia="Times New Roman"/>
                <w:b/>
                <w:color w:val="000000"/>
              </w:rPr>
            </w:pPr>
          </w:p>
          <w:p w:rsidR="009C5526" w:rsidRPr="00095FC4" w:rsidRDefault="009C5526" w:rsidP="00801BB3">
            <w:pPr>
              <w:jc w:val="center"/>
              <w:rPr>
                <w:rFonts w:eastAsia="Times New Roman"/>
                <w:b/>
                <w:color w:val="000000"/>
              </w:rPr>
            </w:pPr>
            <w:r w:rsidRPr="00095FC4">
              <w:rPr>
                <w:rFonts w:eastAsia="Times New Roman"/>
                <w:b/>
                <w:color w:val="000000"/>
              </w:rPr>
              <w:t>Chapter 2</w:t>
            </w: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0F2A3D">
            <w:pPr>
              <w:jc w:val="center"/>
              <w:rPr>
                <w:rFonts w:eastAsia="Times New Roman"/>
                <w:b/>
                <w:color w:val="000000"/>
              </w:rPr>
            </w:pPr>
          </w:p>
          <w:p w:rsidR="009C5526" w:rsidRDefault="009C5526" w:rsidP="009C5526">
            <w:pPr>
              <w:jc w:val="center"/>
              <w:rPr>
                <w:rFonts w:eastAsia="Times New Roman"/>
                <w:b/>
                <w:color w:val="000000"/>
              </w:rPr>
            </w:pPr>
          </w:p>
          <w:p w:rsidR="009C5526" w:rsidRDefault="009C5526" w:rsidP="009C5526">
            <w:pPr>
              <w:jc w:val="center"/>
              <w:rPr>
                <w:rFonts w:eastAsia="Times New Roman"/>
                <w:b/>
                <w:color w:val="000000"/>
              </w:rPr>
            </w:pPr>
          </w:p>
          <w:p w:rsidR="009C5526" w:rsidRDefault="009C5526" w:rsidP="009C5526">
            <w:pPr>
              <w:jc w:val="center"/>
              <w:rPr>
                <w:rFonts w:eastAsia="Times New Roman"/>
                <w:b/>
                <w:color w:val="000000"/>
              </w:rPr>
            </w:pPr>
          </w:p>
          <w:p w:rsidR="009C5526" w:rsidRPr="00095FC4" w:rsidRDefault="009C5526" w:rsidP="009C5526">
            <w:pPr>
              <w:jc w:val="center"/>
              <w:rPr>
                <w:rFonts w:eastAsia="Times New Roman"/>
                <w:b/>
                <w:color w:val="000000"/>
              </w:rPr>
            </w:pPr>
            <w:r>
              <w:rPr>
                <w:rFonts w:eastAsia="Times New Roman"/>
                <w:b/>
                <w:color w:val="000000"/>
              </w:rPr>
              <w:t>Chapter - 3</w:t>
            </w:r>
          </w:p>
        </w:tc>
        <w:tc>
          <w:tcPr>
            <w:tcW w:w="2888" w:type="pct"/>
            <w:noWrap/>
            <w:hideMark/>
          </w:tcPr>
          <w:p w:rsidR="009C5526" w:rsidRPr="00095FC4" w:rsidRDefault="009C5526" w:rsidP="00911E26">
            <w:pPr>
              <w:rPr>
                <w:rFonts w:eastAsia="Times New Roman"/>
                <w:b/>
                <w:color w:val="000000"/>
              </w:rPr>
            </w:pPr>
            <w:r>
              <w:rPr>
                <w:rFonts w:eastAsia="Times New Roman"/>
                <w:b/>
                <w:color w:val="000000"/>
              </w:rPr>
              <w:lastRenderedPageBreak/>
              <w:t>Green Bank &amp; Green Banking</w:t>
            </w:r>
          </w:p>
        </w:tc>
        <w:tc>
          <w:tcPr>
            <w:tcW w:w="729" w:type="pct"/>
            <w:noWrap/>
            <w:hideMark/>
          </w:tcPr>
          <w:p w:rsidR="009C5526" w:rsidRPr="00095FC4" w:rsidRDefault="009C5526" w:rsidP="00911E26">
            <w:pPr>
              <w:jc w:val="center"/>
              <w:rPr>
                <w:rFonts w:eastAsia="Times New Roman"/>
                <w:b/>
                <w:color w:val="000000"/>
              </w:rPr>
            </w:pPr>
            <w:r w:rsidRPr="00095FC4">
              <w:rPr>
                <w:rFonts w:eastAsia="Times New Roman"/>
                <w:b/>
                <w:color w:val="000000"/>
              </w:rPr>
              <w:t>5</w:t>
            </w:r>
            <w:r>
              <w:rPr>
                <w:rFonts w:eastAsia="Times New Roman"/>
                <w:b/>
                <w:color w:val="000000"/>
              </w:rPr>
              <w:t xml:space="preserve"> - 13</w:t>
            </w:r>
          </w:p>
        </w:tc>
      </w:tr>
      <w:tr w:rsidR="009C5526" w:rsidRPr="00095FC4" w:rsidTr="009F50E8">
        <w:trPr>
          <w:trHeight w:val="432"/>
        </w:trPr>
        <w:tc>
          <w:tcPr>
            <w:tcW w:w="1383" w:type="pct"/>
            <w:vMerge/>
          </w:tcPr>
          <w:p w:rsidR="009C5526" w:rsidRPr="00095FC4" w:rsidRDefault="009C5526" w:rsidP="000F2A3D">
            <w:pPr>
              <w:jc w:val="center"/>
              <w:rPr>
                <w:rFonts w:eastAsia="Times New Roman"/>
                <w:color w:val="000000"/>
              </w:rPr>
            </w:pPr>
          </w:p>
        </w:tc>
        <w:tc>
          <w:tcPr>
            <w:tcW w:w="2888" w:type="pct"/>
            <w:noWrap/>
            <w:hideMark/>
          </w:tcPr>
          <w:p w:rsidR="009C5526" w:rsidRPr="00095FC4" w:rsidRDefault="009C5526" w:rsidP="00493B7E">
            <w:pPr>
              <w:rPr>
                <w:rFonts w:eastAsia="Times New Roman"/>
                <w:color w:val="000000"/>
              </w:rPr>
            </w:pPr>
            <w:r w:rsidRPr="00095FC4">
              <w:rPr>
                <w:rFonts w:eastAsia="Times New Roman"/>
                <w:color w:val="000000"/>
              </w:rPr>
              <w:t>2.</w:t>
            </w:r>
            <w:r>
              <w:rPr>
                <w:rFonts w:eastAsia="Times New Roman"/>
                <w:color w:val="000000"/>
              </w:rPr>
              <w:t>1. Green Bank and Green Banking</w:t>
            </w:r>
          </w:p>
        </w:tc>
        <w:tc>
          <w:tcPr>
            <w:tcW w:w="729" w:type="pct"/>
            <w:noWrap/>
            <w:hideMark/>
          </w:tcPr>
          <w:p w:rsidR="009C5526" w:rsidRPr="00095FC4" w:rsidRDefault="009C5526" w:rsidP="00B8592C">
            <w:pPr>
              <w:jc w:val="center"/>
              <w:rPr>
                <w:rFonts w:eastAsia="Times New Roman"/>
                <w:color w:val="000000"/>
              </w:rPr>
            </w:pPr>
            <w:r w:rsidRPr="00095FC4">
              <w:rPr>
                <w:rFonts w:eastAsia="Times New Roman"/>
                <w:color w:val="000000"/>
              </w:rPr>
              <w:t>6</w:t>
            </w:r>
          </w:p>
        </w:tc>
      </w:tr>
      <w:tr w:rsidR="009C5526"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0F2A3D">
            <w:pPr>
              <w:jc w:val="center"/>
              <w:rPr>
                <w:rFonts w:eastAsia="Times New Roman"/>
                <w:color w:val="000000"/>
              </w:rPr>
            </w:pPr>
          </w:p>
        </w:tc>
        <w:tc>
          <w:tcPr>
            <w:tcW w:w="2888" w:type="pct"/>
            <w:noWrap/>
            <w:hideMark/>
          </w:tcPr>
          <w:p w:rsidR="009C5526" w:rsidRPr="00095FC4" w:rsidRDefault="009C5526" w:rsidP="00493B7E">
            <w:pPr>
              <w:rPr>
                <w:rFonts w:eastAsia="Times New Roman"/>
                <w:color w:val="000000"/>
              </w:rPr>
            </w:pPr>
            <w:r w:rsidRPr="00095FC4">
              <w:rPr>
                <w:rFonts w:eastAsia="Times New Roman"/>
                <w:color w:val="000000"/>
              </w:rPr>
              <w:t>2.</w:t>
            </w:r>
            <w:r>
              <w:rPr>
                <w:rFonts w:eastAsia="Times New Roman"/>
                <w:color w:val="000000"/>
              </w:rPr>
              <w:t>2. Green Banking Activities</w:t>
            </w:r>
          </w:p>
        </w:tc>
        <w:tc>
          <w:tcPr>
            <w:tcW w:w="729" w:type="pct"/>
            <w:noWrap/>
            <w:hideMark/>
          </w:tcPr>
          <w:p w:rsidR="009C5526" w:rsidRPr="00095FC4" w:rsidRDefault="009C5526" w:rsidP="00B8592C">
            <w:pPr>
              <w:jc w:val="center"/>
              <w:rPr>
                <w:rFonts w:eastAsia="Times New Roman"/>
                <w:color w:val="000000"/>
              </w:rPr>
            </w:pPr>
            <w:r w:rsidRPr="00095FC4">
              <w:rPr>
                <w:rFonts w:eastAsia="Times New Roman"/>
                <w:color w:val="000000"/>
              </w:rPr>
              <w:t>7</w:t>
            </w:r>
          </w:p>
        </w:tc>
      </w:tr>
      <w:tr w:rsidR="009C5526" w:rsidRPr="00095FC4" w:rsidTr="009F50E8">
        <w:trPr>
          <w:trHeight w:val="432"/>
        </w:trPr>
        <w:tc>
          <w:tcPr>
            <w:tcW w:w="1383" w:type="pct"/>
            <w:vMerge/>
          </w:tcPr>
          <w:p w:rsidR="009C5526" w:rsidRPr="00095FC4" w:rsidRDefault="009C5526" w:rsidP="000F2A3D">
            <w:pPr>
              <w:jc w:val="center"/>
              <w:rPr>
                <w:rFonts w:eastAsia="Times New Roman"/>
                <w:color w:val="000000"/>
              </w:rPr>
            </w:pPr>
          </w:p>
        </w:tc>
        <w:tc>
          <w:tcPr>
            <w:tcW w:w="2888" w:type="pct"/>
            <w:noWrap/>
            <w:hideMark/>
          </w:tcPr>
          <w:p w:rsidR="009C5526" w:rsidRPr="00095FC4" w:rsidRDefault="009C5526" w:rsidP="00493B7E">
            <w:pPr>
              <w:rPr>
                <w:rFonts w:eastAsia="Times New Roman"/>
                <w:color w:val="000000"/>
              </w:rPr>
            </w:pPr>
            <w:r w:rsidRPr="00095FC4">
              <w:rPr>
                <w:rFonts w:eastAsia="Times New Roman"/>
                <w:color w:val="000000"/>
              </w:rPr>
              <w:t>2.</w:t>
            </w:r>
            <w:r>
              <w:rPr>
                <w:rFonts w:eastAsia="Times New Roman"/>
                <w:color w:val="000000"/>
              </w:rPr>
              <w:t>2.1. BB’s Green Banking Initiatives</w:t>
            </w:r>
          </w:p>
        </w:tc>
        <w:tc>
          <w:tcPr>
            <w:tcW w:w="729" w:type="pct"/>
            <w:noWrap/>
            <w:hideMark/>
          </w:tcPr>
          <w:p w:rsidR="009C5526" w:rsidRPr="00095FC4" w:rsidRDefault="009C5526" w:rsidP="00B8592C">
            <w:pPr>
              <w:jc w:val="center"/>
              <w:rPr>
                <w:rFonts w:eastAsia="Times New Roman"/>
                <w:color w:val="000000"/>
              </w:rPr>
            </w:pPr>
            <w:r>
              <w:rPr>
                <w:rFonts w:eastAsia="Times New Roman"/>
                <w:color w:val="000000"/>
              </w:rPr>
              <w:t>7 - 8</w:t>
            </w:r>
          </w:p>
        </w:tc>
      </w:tr>
      <w:tr w:rsidR="009C5526"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0F2A3D">
            <w:pPr>
              <w:jc w:val="center"/>
              <w:rPr>
                <w:rFonts w:eastAsia="Times New Roman"/>
                <w:color w:val="000000"/>
              </w:rPr>
            </w:pPr>
          </w:p>
        </w:tc>
        <w:tc>
          <w:tcPr>
            <w:tcW w:w="2888" w:type="pct"/>
            <w:noWrap/>
            <w:hideMark/>
          </w:tcPr>
          <w:p w:rsidR="009C5526" w:rsidRPr="00095FC4" w:rsidRDefault="009C5526" w:rsidP="00493B7E">
            <w:pPr>
              <w:rPr>
                <w:rFonts w:eastAsia="Times New Roman"/>
                <w:color w:val="000000"/>
              </w:rPr>
            </w:pPr>
            <w:r w:rsidRPr="00095FC4">
              <w:rPr>
                <w:rFonts w:eastAsia="Times New Roman"/>
                <w:color w:val="000000"/>
              </w:rPr>
              <w:t>2.</w:t>
            </w:r>
            <w:r>
              <w:rPr>
                <w:rFonts w:eastAsia="Times New Roman"/>
                <w:color w:val="000000"/>
              </w:rPr>
              <w:t>2.2. Bank’s Green Banking Activities</w:t>
            </w:r>
          </w:p>
        </w:tc>
        <w:tc>
          <w:tcPr>
            <w:tcW w:w="729" w:type="pct"/>
            <w:noWrap/>
            <w:hideMark/>
          </w:tcPr>
          <w:p w:rsidR="009C5526" w:rsidRPr="00095FC4" w:rsidRDefault="009C5526" w:rsidP="00B8592C">
            <w:pPr>
              <w:jc w:val="center"/>
              <w:rPr>
                <w:rFonts w:eastAsia="Times New Roman"/>
                <w:color w:val="000000"/>
              </w:rPr>
            </w:pPr>
            <w:r w:rsidRPr="00095FC4">
              <w:rPr>
                <w:rFonts w:eastAsia="Times New Roman"/>
                <w:color w:val="000000"/>
              </w:rPr>
              <w:t>8</w:t>
            </w:r>
            <w:r>
              <w:rPr>
                <w:rFonts w:eastAsia="Times New Roman"/>
                <w:color w:val="000000"/>
              </w:rPr>
              <w:t xml:space="preserve"> - 9</w:t>
            </w:r>
          </w:p>
        </w:tc>
      </w:tr>
      <w:tr w:rsidR="009C5526" w:rsidRPr="00095FC4" w:rsidTr="009F50E8">
        <w:trPr>
          <w:trHeight w:val="432"/>
        </w:trPr>
        <w:tc>
          <w:tcPr>
            <w:tcW w:w="1383" w:type="pct"/>
            <w:vMerge/>
          </w:tcPr>
          <w:p w:rsidR="009C5526" w:rsidRPr="00095FC4" w:rsidRDefault="009C5526" w:rsidP="000F2A3D">
            <w:pPr>
              <w:jc w:val="center"/>
              <w:rPr>
                <w:rFonts w:eastAsia="Times New Roman"/>
                <w:color w:val="000000"/>
              </w:rPr>
            </w:pPr>
          </w:p>
        </w:tc>
        <w:tc>
          <w:tcPr>
            <w:tcW w:w="2888" w:type="pct"/>
            <w:noWrap/>
            <w:hideMark/>
          </w:tcPr>
          <w:p w:rsidR="009C5526" w:rsidRPr="00095FC4" w:rsidRDefault="009C5526" w:rsidP="006626E0">
            <w:pPr>
              <w:rPr>
                <w:rFonts w:eastAsia="Times New Roman"/>
                <w:color w:val="000000"/>
              </w:rPr>
            </w:pPr>
            <w:r w:rsidRPr="00095FC4">
              <w:rPr>
                <w:rFonts w:eastAsia="Times New Roman"/>
                <w:color w:val="000000"/>
              </w:rPr>
              <w:t>2.</w:t>
            </w:r>
            <w:r>
              <w:rPr>
                <w:rFonts w:eastAsia="Times New Roman"/>
                <w:color w:val="000000"/>
              </w:rPr>
              <w:t>3. Bangladesh Bank Green Initiatives</w:t>
            </w:r>
          </w:p>
        </w:tc>
        <w:tc>
          <w:tcPr>
            <w:tcW w:w="729" w:type="pct"/>
            <w:noWrap/>
            <w:hideMark/>
          </w:tcPr>
          <w:p w:rsidR="009C5526" w:rsidRPr="00095FC4" w:rsidRDefault="009C5526" w:rsidP="00B8592C">
            <w:pPr>
              <w:jc w:val="center"/>
              <w:rPr>
                <w:rFonts w:eastAsia="Times New Roman"/>
                <w:color w:val="000000"/>
              </w:rPr>
            </w:pPr>
            <w:r>
              <w:rPr>
                <w:rFonts w:eastAsia="Times New Roman"/>
                <w:color w:val="000000"/>
              </w:rPr>
              <w:t>10</w:t>
            </w:r>
          </w:p>
        </w:tc>
      </w:tr>
      <w:tr w:rsidR="009C5526"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0F2A3D">
            <w:pPr>
              <w:jc w:val="center"/>
              <w:rPr>
                <w:rFonts w:eastAsia="Times New Roman"/>
                <w:color w:val="000000"/>
              </w:rPr>
            </w:pPr>
          </w:p>
        </w:tc>
        <w:tc>
          <w:tcPr>
            <w:tcW w:w="2888" w:type="pct"/>
            <w:noWrap/>
            <w:hideMark/>
          </w:tcPr>
          <w:p w:rsidR="009C5526" w:rsidRPr="00095FC4" w:rsidRDefault="009C5526" w:rsidP="00493B7E">
            <w:pPr>
              <w:rPr>
                <w:rFonts w:eastAsia="Times New Roman"/>
                <w:color w:val="000000"/>
              </w:rPr>
            </w:pPr>
            <w:r w:rsidRPr="00095FC4">
              <w:rPr>
                <w:rFonts w:eastAsia="Times New Roman"/>
                <w:color w:val="000000"/>
              </w:rPr>
              <w:t>2.</w:t>
            </w:r>
            <w:r>
              <w:rPr>
                <w:rFonts w:eastAsia="Times New Roman"/>
                <w:color w:val="000000"/>
              </w:rPr>
              <w:t xml:space="preserve">4. Strategy Framework of Green Banking Activities </w:t>
            </w:r>
          </w:p>
        </w:tc>
        <w:tc>
          <w:tcPr>
            <w:tcW w:w="729" w:type="pct"/>
            <w:noWrap/>
            <w:hideMark/>
          </w:tcPr>
          <w:p w:rsidR="009C5526" w:rsidRPr="00095FC4" w:rsidRDefault="009C5526" w:rsidP="00B8592C">
            <w:pPr>
              <w:jc w:val="center"/>
              <w:rPr>
                <w:rFonts w:eastAsia="Times New Roman"/>
                <w:color w:val="000000"/>
              </w:rPr>
            </w:pPr>
            <w:r>
              <w:rPr>
                <w:rFonts w:eastAsia="Times New Roman"/>
                <w:color w:val="000000"/>
              </w:rPr>
              <w:t>11 - 13</w:t>
            </w:r>
          </w:p>
        </w:tc>
      </w:tr>
      <w:tr w:rsidR="009C5526" w:rsidRPr="00095FC4" w:rsidTr="009F50E8">
        <w:trPr>
          <w:trHeight w:val="432"/>
        </w:trPr>
        <w:tc>
          <w:tcPr>
            <w:tcW w:w="1383" w:type="pct"/>
            <w:vMerge/>
          </w:tcPr>
          <w:p w:rsidR="009C5526" w:rsidRPr="00095FC4" w:rsidRDefault="009C5526" w:rsidP="000F2A3D">
            <w:pPr>
              <w:jc w:val="center"/>
              <w:rPr>
                <w:rFonts w:eastAsia="Times New Roman"/>
                <w:color w:val="000000"/>
              </w:rPr>
            </w:pPr>
          </w:p>
        </w:tc>
        <w:tc>
          <w:tcPr>
            <w:tcW w:w="2888" w:type="pct"/>
            <w:noWrap/>
            <w:hideMark/>
          </w:tcPr>
          <w:p w:rsidR="009C5526" w:rsidRPr="00095FC4" w:rsidRDefault="009C5526" w:rsidP="00493B7E">
            <w:pPr>
              <w:rPr>
                <w:rFonts w:eastAsia="Times New Roman"/>
                <w:color w:val="000000"/>
              </w:rPr>
            </w:pPr>
            <w:r w:rsidRPr="00095FC4">
              <w:rPr>
                <w:rFonts w:eastAsia="Times New Roman"/>
                <w:color w:val="000000"/>
              </w:rPr>
              <w:t>2.</w:t>
            </w:r>
            <w:r>
              <w:rPr>
                <w:rFonts w:eastAsia="Times New Roman"/>
                <w:color w:val="000000"/>
              </w:rPr>
              <w:t>4.1. Phase - I</w:t>
            </w:r>
          </w:p>
        </w:tc>
        <w:tc>
          <w:tcPr>
            <w:tcW w:w="729" w:type="pct"/>
            <w:noWrap/>
            <w:hideMark/>
          </w:tcPr>
          <w:p w:rsidR="009C5526" w:rsidRPr="00095FC4" w:rsidRDefault="009C5526" w:rsidP="00B8592C">
            <w:pPr>
              <w:jc w:val="center"/>
              <w:rPr>
                <w:rFonts w:eastAsia="Times New Roman"/>
                <w:color w:val="000000"/>
              </w:rPr>
            </w:pPr>
            <w:r>
              <w:rPr>
                <w:rFonts w:eastAsia="Times New Roman"/>
                <w:color w:val="000000"/>
              </w:rPr>
              <w:t>11 - 12</w:t>
            </w:r>
          </w:p>
        </w:tc>
      </w:tr>
      <w:tr w:rsidR="009C5526"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0F2A3D">
            <w:pPr>
              <w:jc w:val="center"/>
              <w:rPr>
                <w:rFonts w:eastAsia="Times New Roman"/>
                <w:color w:val="000000"/>
              </w:rPr>
            </w:pPr>
          </w:p>
        </w:tc>
        <w:tc>
          <w:tcPr>
            <w:tcW w:w="2888" w:type="pct"/>
            <w:noWrap/>
            <w:hideMark/>
          </w:tcPr>
          <w:p w:rsidR="009C5526" w:rsidRPr="00095FC4" w:rsidRDefault="009C5526" w:rsidP="00493B7E">
            <w:pPr>
              <w:rPr>
                <w:rFonts w:eastAsia="Times New Roman"/>
                <w:color w:val="000000"/>
              </w:rPr>
            </w:pPr>
            <w:r>
              <w:rPr>
                <w:rFonts w:eastAsia="Times New Roman"/>
                <w:color w:val="000000"/>
              </w:rPr>
              <w:t>2.4.2. Phase - II</w:t>
            </w:r>
          </w:p>
        </w:tc>
        <w:tc>
          <w:tcPr>
            <w:tcW w:w="729" w:type="pct"/>
            <w:noWrap/>
            <w:hideMark/>
          </w:tcPr>
          <w:p w:rsidR="009C5526" w:rsidRPr="00095FC4" w:rsidRDefault="009C5526" w:rsidP="006626E0">
            <w:pPr>
              <w:jc w:val="center"/>
              <w:rPr>
                <w:rFonts w:eastAsia="Times New Roman"/>
                <w:color w:val="000000"/>
              </w:rPr>
            </w:pPr>
            <w:r>
              <w:rPr>
                <w:rFonts w:eastAsia="Times New Roman"/>
                <w:color w:val="000000"/>
              </w:rPr>
              <w:t xml:space="preserve">12 - 13 </w:t>
            </w:r>
          </w:p>
        </w:tc>
      </w:tr>
      <w:tr w:rsidR="009C5526" w:rsidRPr="00095FC4" w:rsidTr="009F50E8">
        <w:trPr>
          <w:trHeight w:val="432"/>
        </w:trPr>
        <w:tc>
          <w:tcPr>
            <w:tcW w:w="1383" w:type="pct"/>
            <w:vMerge/>
          </w:tcPr>
          <w:p w:rsidR="009C5526" w:rsidRPr="00095FC4" w:rsidRDefault="009C5526" w:rsidP="000F2A3D">
            <w:pPr>
              <w:jc w:val="center"/>
              <w:rPr>
                <w:rFonts w:eastAsia="Times New Roman"/>
                <w:color w:val="000000"/>
              </w:rPr>
            </w:pPr>
          </w:p>
        </w:tc>
        <w:tc>
          <w:tcPr>
            <w:tcW w:w="2888" w:type="pct"/>
            <w:noWrap/>
            <w:hideMark/>
          </w:tcPr>
          <w:p w:rsidR="009C5526" w:rsidRPr="00095FC4" w:rsidRDefault="009C5526" w:rsidP="00493B7E">
            <w:pPr>
              <w:rPr>
                <w:rFonts w:eastAsia="Times New Roman"/>
                <w:color w:val="000000"/>
              </w:rPr>
            </w:pPr>
            <w:r>
              <w:rPr>
                <w:rFonts w:eastAsia="Times New Roman"/>
                <w:color w:val="000000"/>
              </w:rPr>
              <w:t>2.4.3. Phase III</w:t>
            </w:r>
          </w:p>
        </w:tc>
        <w:tc>
          <w:tcPr>
            <w:tcW w:w="729" w:type="pct"/>
            <w:noWrap/>
            <w:hideMark/>
          </w:tcPr>
          <w:p w:rsidR="009C5526" w:rsidRPr="00095FC4" w:rsidRDefault="009C5526" w:rsidP="00493B7E">
            <w:pPr>
              <w:jc w:val="center"/>
              <w:rPr>
                <w:rFonts w:eastAsia="Times New Roman"/>
                <w:color w:val="000000"/>
              </w:rPr>
            </w:pPr>
            <w:r>
              <w:rPr>
                <w:rFonts w:eastAsia="Times New Roman"/>
                <w:color w:val="000000"/>
              </w:rPr>
              <w:t>13</w:t>
            </w:r>
          </w:p>
        </w:tc>
      </w:tr>
      <w:tr w:rsidR="009C5526" w:rsidRPr="00095FC4" w:rsidTr="00B8592C">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0F2A3D">
            <w:pPr>
              <w:jc w:val="center"/>
              <w:rPr>
                <w:rFonts w:eastAsia="Times New Roman"/>
                <w:color w:val="000000"/>
              </w:rPr>
            </w:pPr>
          </w:p>
        </w:tc>
        <w:tc>
          <w:tcPr>
            <w:tcW w:w="2888" w:type="pct"/>
            <w:noWrap/>
            <w:hideMark/>
          </w:tcPr>
          <w:p w:rsidR="009C5526" w:rsidRPr="00B23466" w:rsidRDefault="009C5526" w:rsidP="00493B7E">
            <w:pPr>
              <w:rPr>
                <w:rFonts w:eastAsia="Times New Roman"/>
                <w:b/>
                <w:color w:val="000000"/>
              </w:rPr>
            </w:pPr>
          </w:p>
        </w:tc>
        <w:tc>
          <w:tcPr>
            <w:tcW w:w="729" w:type="pct"/>
            <w:noWrap/>
            <w:hideMark/>
          </w:tcPr>
          <w:p w:rsidR="009C5526" w:rsidRPr="00B23466" w:rsidRDefault="009C5526" w:rsidP="00493B7E">
            <w:pPr>
              <w:jc w:val="center"/>
              <w:rPr>
                <w:rFonts w:eastAsia="Times New Roman"/>
                <w:b/>
                <w:color w:val="000000"/>
              </w:rPr>
            </w:pPr>
          </w:p>
        </w:tc>
      </w:tr>
      <w:tr w:rsidR="009C5526" w:rsidRPr="00095FC4" w:rsidTr="00B8592C">
        <w:trPr>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095FC4" w:rsidRDefault="009C5526" w:rsidP="00493B7E">
            <w:pPr>
              <w:rPr>
                <w:rFonts w:eastAsia="Times New Roman"/>
                <w:color w:val="000000"/>
              </w:rPr>
            </w:pPr>
          </w:p>
        </w:tc>
        <w:tc>
          <w:tcPr>
            <w:tcW w:w="729" w:type="pct"/>
            <w:noWrap/>
            <w:hideMark/>
          </w:tcPr>
          <w:p w:rsidR="009C5526" w:rsidRPr="00095FC4" w:rsidRDefault="009C5526" w:rsidP="00493B7E">
            <w:pPr>
              <w:jc w:val="center"/>
              <w:rPr>
                <w:rFonts w:eastAsia="Times New Roman"/>
                <w:color w:val="000000"/>
              </w:rPr>
            </w:pPr>
          </w:p>
        </w:tc>
      </w:tr>
      <w:tr w:rsidR="009C5526" w:rsidRPr="00095FC4" w:rsidTr="00B8592C">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B23466" w:rsidRDefault="009C5526" w:rsidP="00B8592C">
            <w:pPr>
              <w:rPr>
                <w:rFonts w:eastAsia="Times New Roman"/>
                <w:b/>
                <w:color w:val="000000"/>
              </w:rPr>
            </w:pPr>
          </w:p>
        </w:tc>
        <w:tc>
          <w:tcPr>
            <w:tcW w:w="729" w:type="pct"/>
            <w:noWrap/>
            <w:hideMark/>
          </w:tcPr>
          <w:p w:rsidR="009C5526" w:rsidRPr="00B23466" w:rsidRDefault="009C5526" w:rsidP="00B8592C">
            <w:pPr>
              <w:jc w:val="center"/>
              <w:rPr>
                <w:rFonts w:eastAsia="Times New Roman"/>
                <w:b/>
                <w:color w:val="000000"/>
              </w:rPr>
            </w:pPr>
          </w:p>
        </w:tc>
      </w:tr>
      <w:tr w:rsidR="009C5526" w:rsidRPr="00095FC4" w:rsidTr="00B8592C">
        <w:trPr>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B23466" w:rsidRDefault="009C5526" w:rsidP="00B8592C">
            <w:pPr>
              <w:rPr>
                <w:rFonts w:eastAsia="Times New Roman"/>
                <w:b/>
                <w:color w:val="000000"/>
              </w:rPr>
            </w:pPr>
            <w:r w:rsidRPr="00B23466">
              <w:rPr>
                <w:rFonts w:eastAsia="Times New Roman"/>
                <w:b/>
                <w:color w:val="000000"/>
              </w:rPr>
              <w:t xml:space="preserve">Green Finance </w:t>
            </w:r>
          </w:p>
        </w:tc>
        <w:tc>
          <w:tcPr>
            <w:tcW w:w="729" w:type="pct"/>
            <w:noWrap/>
            <w:hideMark/>
          </w:tcPr>
          <w:p w:rsidR="009C5526" w:rsidRPr="00B23466" w:rsidRDefault="009C5526" w:rsidP="00B8592C">
            <w:pPr>
              <w:jc w:val="center"/>
              <w:rPr>
                <w:rFonts w:eastAsia="Times New Roman"/>
                <w:b/>
                <w:color w:val="000000"/>
              </w:rPr>
            </w:pPr>
            <w:r w:rsidRPr="00B23466">
              <w:rPr>
                <w:rFonts w:eastAsia="Times New Roman"/>
                <w:b/>
                <w:color w:val="000000"/>
              </w:rPr>
              <w:t>14 - 26</w:t>
            </w:r>
          </w:p>
        </w:tc>
      </w:tr>
      <w:tr w:rsidR="009C5526" w:rsidRPr="00095FC4" w:rsidTr="00B8592C">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095FC4" w:rsidRDefault="009C5526" w:rsidP="00B8592C">
            <w:pPr>
              <w:rPr>
                <w:rFonts w:eastAsia="Times New Roman"/>
                <w:color w:val="000000"/>
              </w:rPr>
            </w:pPr>
            <w:r>
              <w:rPr>
                <w:rFonts w:eastAsia="Times New Roman"/>
                <w:color w:val="000000"/>
              </w:rPr>
              <w:t>3.1. Green Finance</w:t>
            </w:r>
          </w:p>
        </w:tc>
        <w:tc>
          <w:tcPr>
            <w:tcW w:w="729" w:type="pct"/>
            <w:noWrap/>
            <w:hideMark/>
          </w:tcPr>
          <w:p w:rsidR="009C5526" w:rsidRPr="00095FC4" w:rsidRDefault="009C5526" w:rsidP="00B8592C">
            <w:pPr>
              <w:jc w:val="center"/>
              <w:rPr>
                <w:rFonts w:eastAsia="Times New Roman"/>
                <w:color w:val="000000"/>
              </w:rPr>
            </w:pPr>
            <w:r>
              <w:rPr>
                <w:rFonts w:eastAsia="Times New Roman"/>
                <w:color w:val="000000"/>
              </w:rPr>
              <w:t>15</w:t>
            </w:r>
          </w:p>
        </w:tc>
      </w:tr>
      <w:tr w:rsidR="009C5526" w:rsidRPr="00095FC4" w:rsidTr="00B8592C">
        <w:trPr>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684747" w:rsidRDefault="009C5526" w:rsidP="00493B7E">
            <w:pPr>
              <w:rPr>
                <w:rFonts w:eastAsia="Times New Roman"/>
                <w:color w:val="000000"/>
              </w:rPr>
            </w:pPr>
            <w:r>
              <w:rPr>
                <w:rFonts w:eastAsia="Times New Roman"/>
                <w:color w:val="000000"/>
              </w:rPr>
              <w:t>3.2. Activities of Green Finance</w:t>
            </w:r>
          </w:p>
        </w:tc>
        <w:tc>
          <w:tcPr>
            <w:tcW w:w="729" w:type="pct"/>
            <w:noWrap/>
            <w:hideMark/>
          </w:tcPr>
          <w:p w:rsidR="009C5526" w:rsidRPr="00684747" w:rsidRDefault="009C5526" w:rsidP="00493B7E">
            <w:pPr>
              <w:jc w:val="center"/>
              <w:rPr>
                <w:rFonts w:eastAsia="Times New Roman"/>
                <w:color w:val="000000"/>
              </w:rPr>
            </w:pPr>
            <w:r>
              <w:rPr>
                <w:rFonts w:eastAsia="Times New Roman"/>
                <w:color w:val="000000"/>
              </w:rPr>
              <w:t xml:space="preserve">15 </w:t>
            </w:r>
          </w:p>
        </w:tc>
      </w:tr>
      <w:tr w:rsidR="009C5526" w:rsidRPr="00095FC4" w:rsidTr="00B8592C">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684747" w:rsidRDefault="009C5526" w:rsidP="00493B7E">
            <w:pPr>
              <w:rPr>
                <w:rFonts w:eastAsia="Times New Roman"/>
                <w:color w:val="000000"/>
              </w:rPr>
            </w:pPr>
            <w:r>
              <w:rPr>
                <w:rFonts w:eastAsia="Times New Roman"/>
                <w:color w:val="000000"/>
              </w:rPr>
              <w:t>3.2.1. Direct Green Finance</w:t>
            </w:r>
          </w:p>
        </w:tc>
        <w:tc>
          <w:tcPr>
            <w:tcW w:w="729" w:type="pct"/>
            <w:noWrap/>
            <w:hideMark/>
          </w:tcPr>
          <w:p w:rsidR="009C5526" w:rsidRPr="00684747" w:rsidRDefault="009C5526" w:rsidP="00493B7E">
            <w:pPr>
              <w:jc w:val="center"/>
              <w:rPr>
                <w:rFonts w:eastAsia="Times New Roman"/>
                <w:color w:val="000000"/>
              </w:rPr>
            </w:pPr>
            <w:r>
              <w:rPr>
                <w:rFonts w:eastAsia="Times New Roman"/>
                <w:color w:val="000000"/>
              </w:rPr>
              <w:t>16 - 17</w:t>
            </w:r>
          </w:p>
        </w:tc>
      </w:tr>
      <w:tr w:rsidR="009C5526" w:rsidRPr="00095FC4" w:rsidTr="00B8592C">
        <w:trPr>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095FC4" w:rsidRDefault="009C5526" w:rsidP="00493B7E">
            <w:pPr>
              <w:rPr>
                <w:rFonts w:eastAsia="Times New Roman"/>
                <w:color w:val="000000"/>
              </w:rPr>
            </w:pPr>
            <w:r>
              <w:rPr>
                <w:rFonts w:eastAsia="Times New Roman"/>
                <w:color w:val="000000"/>
              </w:rPr>
              <w:t xml:space="preserve">3.2.2. Indirect Green Finance </w:t>
            </w:r>
          </w:p>
        </w:tc>
        <w:tc>
          <w:tcPr>
            <w:tcW w:w="729" w:type="pct"/>
            <w:noWrap/>
            <w:hideMark/>
          </w:tcPr>
          <w:p w:rsidR="009C5526" w:rsidRPr="00095FC4" w:rsidRDefault="009C5526" w:rsidP="00493B7E">
            <w:pPr>
              <w:jc w:val="center"/>
              <w:rPr>
                <w:rFonts w:eastAsia="Times New Roman"/>
                <w:color w:val="000000"/>
              </w:rPr>
            </w:pPr>
            <w:r>
              <w:rPr>
                <w:rFonts w:eastAsia="Times New Roman"/>
                <w:color w:val="000000"/>
              </w:rPr>
              <w:t xml:space="preserve">17 </w:t>
            </w:r>
          </w:p>
        </w:tc>
      </w:tr>
      <w:tr w:rsidR="009C5526" w:rsidRPr="00095FC4" w:rsidTr="00B8592C">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Default="009C5526" w:rsidP="00493B7E">
            <w:pPr>
              <w:rPr>
                <w:rFonts w:eastAsia="Times New Roman"/>
                <w:color w:val="000000"/>
              </w:rPr>
            </w:pPr>
            <w:r>
              <w:rPr>
                <w:rFonts w:eastAsia="Times New Roman"/>
                <w:color w:val="000000"/>
              </w:rPr>
              <w:t>3.3. Direct and Indirect Green Financing During 2012 - 2015</w:t>
            </w:r>
          </w:p>
        </w:tc>
        <w:tc>
          <w:tcPr>
            <w:tcW w:w="729" w:type="pct"/>
            <w:noWrap/>
            <w:hideMark/>
          </w:tcPr>
          <w:p w:rsidR="009C5526" w:rsidRDefault="009C5526" w:rsidP="00493B7E">
            <w:pPr>
              <w:jc w:val="center"/>
              <w:rPr>
                <w:rFonts w:eastAsia="Times New Roman"/>
                <w:color w:val="000000"/>
              </w:rPr>
            </w:pPr>
            <w:r>
              <w:rPr>
                <w:rFonts w:eastAsia="Times New Roman"/>
                <w:color w:val="000000"/>
              </w:rPr>
              <w:t>17</w:t>
            </w:r>
          </w:p>
        </w:tc>
      </w:tr>
      <w:tr w:rsidR="009C5526" w:rsidRPr="00095FC4" w:rsidTr="00B8592C">
        <w:trPr>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095FC4" w:rsidRDefault="009C5526" w:rsidP="00015317">
            <w:pPr>
              <w:rPr>
                <w:rFonts w:eastAsia="Times New Roman"/>
                <w:color w:val="000000"/>
              </w:rPr>
            </w:pPr>
            <w:r>
              <w:rPr>
                <w:rFonts w:eastAsia="Times New Roman"/>
                <w:color w:val="000000"/>
              </w:rPr>
              <w:t>3.4. Green Finance Projects</w:t>
            </w:r>
          </w:p>
        </w:tc>
        <w:tc>
          <w:tcPr>
            <w:tcW w:w="729" w:type="pct"/>
            <w:noWrap/>
            <w:hideMark/>
          </w:tcPr>
          <w:p w:rsidR="009C5526" w:rsidRPr="00095FC4" w:rsidRDefault="009C5526" w:rsidP="00493B7E">
            <w:pPr>
              <w:jc w:val="center"/>
              <w:rPr>
                <w:rFonts w:eastAsia="Times New Roman"/>
                <w:color w:val="000000"/>
              </w:rPr>
            </w:pPr>
            <w:r>
              <w:rPr>
                <w:rFonts w:eastAsia="Times New Roman"/>
                <w:color w:val="000000"/>
              </w:rPr>
              <w:t>19</w:t>
            </w:r>
          </w:p>
        </w:tc>
      </w:tr>
      <w:tr w:rsidR="009C5526" w:rsidRPr="00095FC4" w:rsidTr="00B8592C">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095FC4" w:rsidRDefault="009C5526" w:rsidP="00015317">
            <w:pPr>
              <w:rPr>
                <w:rFonts w:eastAsia="Times New Roman"/>
                <w:color w:val="000000"/>
              </w:rPr>
            </w:pPr>
            <w:r>
              <w:rPr>
                <w:rFonts w:eastAsia="Times New Roman"/>
                <w:color w:val="000000"/>
              </w:rPr>
              <w:t xml:space="preserve">3.5. Environment Risk </w:t>
            </w:r>
          </w:p>
        </w:tc>
        <w:tc>
          <w:tcPr>
            <w:tcW w:w="729" w:type="pct"/>
            <w:noWrap/>
            <w:hideMark/>
          </w:tcPr>
          <w:p w:rsidR="009C5526" w:rsidRPr="00095FC4" w:rsidRDefault="009C5526" w:rsidP="00493B7E">
            <w:pPr>
              <w:jc w:val="center"/>
              <w:rPr>
                <w:rFonts w:eastAsia="Times New Roman"/>
                <w:color w:val="000000"/>
              </w:rPr>
            </w:pPr>
            <w:r>
              <w:rPr>
                <w:rFonts w:eastAsia="Times New Roman"/>
                <w:color w:val="000000"/>
              </w:rPr>
              <w:t>20</w:t>
            </w:r>
          </w:p>
        </w:tc>
      </w:tr>
      <w:tr w:rsidR="009C5526" w:rsidRPr="00095FC4" w:rsidTr="00B8592C">
        <w:trPr>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684747" w:rsidRDefault="009C5526" w:rsidP="00015317">
            <w:pPr>
              <w:rPr>
                <w:rFonts w:eastAsia="Times New Roman"/>
                <w:color w:val="000000"/>
              </w:rPr>
            </w:pPr>
            <w:r>
              <w:rPr>
                <w:rFonts w:eastAsia="Times New Roman"/>
                <w:color w:val="000000"/>
              </w:rPr>
              <w:t>3.5.1. Environment Risk Rating 2012</w:t>
            </w:r>
          </w:p>
        </w:tc>
        <w:tc>
          <w:tcPr>
            <w:tcW w:w="729" w:type="pct"/>
            <w:noWrap/>
            <w:hideMark/>
          </w:tcPr>
          <w:p w:rsidR="009C5526" w:rsidRPr="00684747" w:rsidRDefault="009C5526" w:rsidP="00493B7E">
            <w:pPr>
              <w:jc w:val="center"/>
              <w:rPr>
                <w:rFonts w:eastAsia="Times New Roman"/>
                <w:color w:val="000000"/>
              </w:rPr>
            </w:pPr>
            <w:r>
              <w:rPr>
                <w:rFonts w:eastAsia="Times New Roman"/>
                <w:color w:val="000000"/>
              </w:rPr>
              <w:t>21</w:t>
            </w:r>
          </w:p>
        </w:tc>
      </w:tr>
      <w:tr w:rsidR="009C5526" w:rsidRPr="00095FC4" w:rsidTr="00B8592C">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Default="009C5526" w:rsidP="00015317">
            <w:pPr>
              <w:rPr>
                <w:rFonts w:eastAsia="Times New Roman"/>
                <w:color w:val="000000"/>
              </w:rPr>
            </w:pPr>
            <w:r>
              <w:rPr>
                <w:rFonts w:eastAsia="Times New Roman"/>
                <w:color w:val="000000"/>
              </w:rPr>
              <w:t>3.5.2. Environment Risk Rating 2013</w:t>
            </w:r>
          </w:p>
        </w:tc>
        <w:tc>
          <w:tcPr>
            <w:tcW w:w="729" w:type="pct"/>
            <w:noWrap/>
            <w:hideMark/>
          </w:tcPr>
          <w:p w:rsidR="009C5526" w:rsidRDefault="009C5526" w:rsidP="00493B7E">
            <w:pPr>
              <w:jc w:val="center"/>
              <w:rPr>
                <w:rFonts w:eastAsia="Times New Roman"/>
                <w:color w:val="000000"/>
              </w:rPr>
            </w:pPr>
            <w:r>
              <w:rPr>
                <w:rFonts w:eastAsia="Times New Roman"/>
                <w:color w:val="000000"/>
              </w:rPr>
              <w:t>21 - 22</w:t>
            </w:r>
          </w:p>
        </w:tc>
      </w:tr>
      <w:tr w:rsidR="009C5526" w:rsidRPr="00095FC4" w:rsidTr="00B8592C">
        <w:trPr>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Default="009C5526" w:rsidP="00015317">
            <w:pPr>
              <w:rPr>
                <w:rFonts w:eastAsia="Times New Roman"/>
                <w:color w:val="000000"/>
              </w:rPr>
            </w:pPr>
            <w:r>
              <w:rPr>
                <w:rFonts w:eastAsia="Times New Roman"/>
                <w:color w:val="000000"/>
              </w:rPr>
              <w:t>3.5.3. Environment Risk Rating 2014</w:t>
            </w:r>
          </w:p>
        </w:tc>
        <w:tc>
          <w:tcPr>
            <w:tcW w:w="729" w:type="pct"/>
            <w:noWrap/>
            <w:hideMark/>
          </w:tcPr>
          <w:p w:rsidR="009C5526" w:rsidRDefault="009C5526" w:rsidP="00493B7E">
            <w:pPr>
              <w:jc w:val="center"/>
              <w:rPr>
                <w:rFonts w:eastAsia="Times New Roman"/>
                <w:color w:val="000000"/>
              </w:rPr>
            </w:pPr>
            <w:r>
              <w:rPr>
                <w:rFonts w:eastAsia="Times New Roman"/>
                <w:color w:val="000000"/>
              </w:rPr>
              <w:t>22 - 23</w:t>
            </w:r>
          </w:p>
        </w:tc>
      </w:tr>
      <w:tr w:rsidR="009C5526" w:rsidRPr="00095FC4" w:rsidTr="00B8592C">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Default="009C5526" w:rsidP="00015317">
            <w:pPr>
              <w:rPr>
                <w:rFonts w:eastAsia="Times New Roman"/>
                <w:color w:val="000000"/>
              </w:rPr>
            </w:pPr>
            <w:r>
              <w:rPr>
                <w:rFonts w:eastAsia="Times New Roman"/>
                <w:color w:val="000000"/>
              </w:rPr>
              <w:t>3.5.4. Environment Risk Rating 2015</w:t>
            </w:r>
          </w:p>
        </w:tc>
        <w:tc>
          <w:tcPr>
            <w:tcW w:w="729" w:type="pct"/>
            <w:noWrap/>
            <w:hideMark/>
          </w:tcPr>
          <w:p w:rsidR="009C5526" w:rsidRPr="00290E13" w:rsidRDefault="009C5526" w:rsidP="00493B7E">
            <w:pPr>
              <w:jc w:val="center"/>
              <w:rPr>
                <w:rFonts w:eastAsia="Times New Roman"/>
                <w:color w:val="000000"/>
              </w:rPr>
            </w:pPr>
            <w:r>
              <w:rPr>
                <w:rFonts w:eastAsia="Times New Roman"/>
                <w:color w:val="000000"/>
              </w:rPr>
              <w:t>23 - 24</w:t>
            </w:r>
          </w:p>
        </w:tc>
      </w:tr>
      <w:tr w:rsidR="009C5526" w:rsidRPr="00095FC4" w:rsidTr="00B8592C">
        <w:trPr>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Default="009C5526" w:rsidP="00015317">
            <w:pPr>
              <w:rPr>
                <w:rFonts w:eastAsia="Times New Roman"/>
                <w:color w:val="000000"/>
              </w:rPr>
            </w:pPr>
            <w:r>
              <w:rPr>
                <w:rFonts w:eastAsia="Times New Roman"/>
                <w:color w:val="000000"/>
              </w:rPr>
              <w:t>3.6. Refinance Scheme</w:t>
            </w:r>
          </w:p>
        </w:tc>
        <w:tc>
          <w:tcPr>
            <w:tcW w:w="729" w:type="pct"/>
            <w:noWrap/>
            <w:hideMark/>
          </w:tcPr>
          <w:p w:rsidR="009C5526" w:rsidRDefault="009C5526" w:rsidP="00493B7E">
            <w:pPr>
              <w:jc w:val="center"/>
              <w:rPr>
                <w:rFonts w:eastAsia="Times New Roman"/>
                <w:color w:val="000000"/>
              </w:rPr>
            </w:pPr>
            <w:r>
              <w:rPr>
                <w:rFonts w:eastAsia="Times New Roman"/>
                <w:color w:val="000000"/>
              </w:rPr>
              <w:t>25 - 26</w:t>
            </w:r>
          </w:p>
        </w:tc>
      </w:tr>
      <w:tr w:rsidR="009C5526"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val="restart"/>
          </w:tcPr>
          <w:p w:rsidR="009C5526" w:rsidRDefault="009C5526" w:rsidP="00911E26">
            <w:pPr>
              <w:rPr>
                <w:rFonts w:eastAsia="Times New Roman"/>
                <w:color w:val="000000"/>
              </w:rPr>
            </w:pPr>
          </w:p>
          <w:p w:rsidR="009C5526" w:rsidRDefault="009C5526" w:rsidP="00911E26">
            <w:pPr>
              <w:rPr>
                <w:rFonts w:eastAsia="Times New Roman"/>
                <w:color w:val="000000"/>
              </w:rPr>
            </w:pPr>
          </w:p>
          <w:p w:rsidR="009C5526" w:rsidRDefault="009C5526" w:rsidP="00911E26">
            <w:pPr>
              <w:rPr>
                <w:rFonts w:eastAsia="Times New Roman"/>
                <w:color w:val="000000"/>
              </w:rPr>
            </w:pPr>
          </w:p>
          <w:p w:rsidR="009C5526" w:rsidRDefault="009C5526" w:rsidP="00911E26">
            <w:pPr>
              <w:rPr>
                <w:rFonts w:eastAsia="Times New Roman"/>
                <w:color w:val="000000"/>
              </w:rPr>
            </w:pPr>
          </w:p>
          <w:p w:rsidR="009C5526" w:rsidRDefault="009C5526" w:rsidP="00911E26">
            <w:pPr>
              <w:rPr>
                <w:rFonts w:eastAsia="Times New Roman"/>
                <w:color w:val="000000"/>
              </w:rPr>
            </w:pPr>
          </w:p>
          <w:p w:rsidR="009C5526" w:rsidRDefault="009C5526" w:rsidP="00911E26">
            <w:pPr>
              <w:rPr>
                <w:rFonts w:eastAsia="Times New Roman"/>
                <w:color w:val="000000"/>
              </w:rPr>
            </w:pPr>
          </w:p>
          <w:p w:rsidR="009C5526" w:rsidRPr="000609FD" w:rsidRDefault="009C5526" w:rsidP="000609FD">
            <w:pPr>
              <w:jc w:val="center"/>
              <w:rPr>
                <w:rFonts w:eastAsia="Times New Roman"/>
                <w:b/>
                <w:color w:val="000000"/>
              </w:rPr>
            </w:pPr>
            <w:r w:rsidRPr="000609FD">
              <w:rPr>
                <w:rFonts w:eastAsia="Times New Roman"/>
                <w:b/>
                <w:color w:val="000000"/>
              </w:rPr>
              <w:t>Chapter - 4</w:t>
            </w:r>
          </w:p>
        </w:tc>
        <w:tc>
          <w:tcPr>
            <w:tcW w:w="2888" w:type="pct"/>
            <w:noWrap/>
            <w:hideMark/>
          </w:tcPr>
          <w:p w:rsidR="009C5526" w:rsidRDefault="009C5526" w:rsidP="00493B7E">
            <w:pPr>
              <w:rPr>
                <w:rFonts w:eastAsia="Times New Roman"/>
                <w:color w:val="000000"/>
              </w:rPr>
            </w:pPr>
          </w:p>
        </w:tc>
        <w:tc>
          <w:tcPr>
            <w:tcW w:w="729" w:type="pct"/>
            <w:noWrap/>
            <w:hideMark/>
          </w:tcPr>
          <w:p w:rsidR="009C5526" w:rsidRDefault="009C5526" w:rsidP="00493B7E">
            <w:pPr>
              <w:jc w:val="center"/>
              <w:rPr>
                <w:rFonts w:eastAsia="Times New Roman"/>
                <w:color w:val="000000"/>
              </w:rPr>
            </w:pPr>
          </w:p>
        </w:tc>
      </w:tr>
      <w:tr w:rsidR="009C5526" w:rsidRPr="00095FC4" w:rsidTr="009F50E8">
        <w:trPr>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911E26" w:rsidRDefault="009C5526" w:rsidP="00493B7E">
            <w:pPr>
              <w:rPr>
                <w:rFonts w:eastAsia="Times New Roman"/>
                <w:b/>
                <w:color w:val="000000"/>
              </w:rPr>
            </w:pPr>
            <w:r w:rsidRPr="00911E26">
              <w:rPr>
                <w:rFonts w:eastAsia="Times New Roman"/>
                <w:b/>
                <w:color w:val="000000"/>
              </w:rPr>
              <w:t>Budget Allocation &amp; Budget Utilization</w:t>
            </w:r>
          </w:p>
        </w:tc>
        <w:tc>
          <w:tcPr>
            <w:tcW w:w="729" w:type="pct"/>
            <w:noWrap/>
            <w:hideMark/>
          </w:tcPr>
          <w:p w:rsidR="009C5526" w:rsidRPr="00911E26" w:rsidRDefault="009C5526" w:rsidP="00493B7E">
            <w:pPr>
              <w:jc w:val="center"/>
              <w:rPr>
                <w:rFonts w:eastAsia="Times New Roman"/>
                <w:b/>
                <w:color w:val="000000"/>
              </w:rPr>
            </w:pPr>
            <w:r w:rsidRPr="00911E26">
              <w:rPr>
                <w:rFonts w:eastAsia="Times New Roman"/>
                <w:b/>
                <w:color w:val="000000"/>
              </w:rPr>
              <w:t>27 - 30</w:t>
            </w:r>
          </w:p>
        </w:tc>
      </w:tr>
      <w:tr w:rsidR="009C5526"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095FC4" w:rsidRDefault="009C5526" w:rsidP="00493B7E">
            <w:pPr>
              <w:rPr>
                <w:rFonts w:eastAsia="Times New Roman"/>
                <w:color w:val="000000"/>
              </w:rPr>
            </w:pPr>
            <w:r>
              <w:rPr>
                <w:rFonts w:eastAsia="Times New Roman"/>
                <w:color w:val="000000"/>
              </w:rPr>
              <w:t>4.1.Budget Allocation &amp; Utilization in Green Finance</w:t>
            </w:r>
          </w:p>
        </w:tc>
        <w:tc>
          <w:tcPr>
            <w:tcW w:w="729" w:type="pct"/>
            <w:noWrap/>
            <w:hideMark/>
          </w:tcPr>
          <w:p w:rsidR="009C5526" w:rsidRPr="00095FC4" w:rsidRDefault="009C5526" w:rsidP="00493B7E">
            <w:pPr>
              <w:jc w:val="center"/>
              <w:rPr>
                <w:rFonts w:eastAsia="Times New Roman"/>
                <w:color w:val="000000"/>
              </w:rPr>
            </w:pPr>
            <w:r>
              <w:rPr>
                <w:rFonts w:eastAsia="Times New Roman"/>
                <w:color w:val="000000"/>
              </w:rPr>
              <w:t>28</w:t>
            </w:r>
          </w:p>
        </w:tc>
      </w:tr>
      <w:tr w:rsidR="009C5526" w:rsidRPr="00095FC4" w:rsidTr="009F50E8">
        <w:trPr>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684747" w:rsidRDefault="009C5526" w:rsidP="00493B7E">
            <w:pPr>
              <w:rPr>
                <w:rFonts w:eastAsia="Times New Roman"/>
                <w:color w:val="000000"/>
              </w:rPr>
            </w:pPr>
            <w:r w:rsidRPr="00911E26">
              <w:t>4.2.Annual Budget Allocation and Budget Utilization for 2012</w:t>
            </w:r>
          </w:p>
        </w:tc>
        <w:tc>
          <w:tcPr>
            <w:tcW w:w="729" w:type="pct"/>
            <w:noWrap/>
            <w:hideMark/>
          </w:tcPr>
          <w:p w:rsidR="009C5526" w:rsidRPr="00684747" w:rsidRDefault="009C5526" w:rsidP="00493B7E">
            <w:pPr>
              <w:jc w:val="center"/>
              <w:rPr>
                <w:rFonts w:eastAsia="Times New Roman"/>
                <w:color w:val="000000"/>
              </w:rPr>
            </w:pPr>
            <w:r>
              <w:rPr>
                <w:rFonts w:eastAsia="Times New Roman"/>
                <w:color w:val="000000"/>
              </w:rPr>
              <w:t>28</w:t>
            </w:r>
          </w:p>
        </w:tc>
      </w:tr>
      <w:tr w:rsidR="009C5526"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7824BF" w:rsidRDefault="009C5526" w:rsidP="00493B7E">
            <w:pPr>
              <w:rPr>
                <w:rFonts w:eastAsia="Times New Roman"/>
                <w:color w:val="000000"/>
              </w:rPr>
            </w:pPr>
            <w:r w:rsidRPr="007824BF">
              <w:t>4.3. Annual Budget Allocation and Budget Utilization for 201</w:t>
            </w:r>
            <w:r>
              <w:t>3</w:t>
            </w:r>
          </w:p>
        </w:tc>
        <w:tc>
          <w:tcPr>
            <w:tcW w:w="729" w:type="pct"/>
            <w:noWrap/>
            <w:hideMark/>
          </w:tcPr>
          <w:p w:rsidR="009C5526" w:rsidRPr="00684747" w:rsidRDefault="009C5526" w:rsidP="00493B7E">
            <w:pPr>
              <w:jc w:val="center"/>
              <w:rPr>
                <w:rFonts w:eastAsia="Times New Roman"/>
                <w:color w:val="000000"/>
              </w:rPr>
            </w:pPr>
            <w:r>
              <w:rPr>
                <w:rFonts w:eastAsia="Times New Roman"/>
                <w:color w:val="000000"/>
              </w:rPr>
              <w:t>28 - 29</w:t>
            </w:r>
          </w:p>
        </w:tc>
      </w:tr>
      <w:tr w:rsidR="009C5526" w:rsidRPr="00095FC4" w:rsidTr="009F50E8">
        <w:trPr>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7824BF" w:rsidRDefault="009C5526" w:rsidP="00493B7E">
            <w:pPr>
              <w:rPr>
                <w:rFonts w:eastAsia="Times New Roman"/>
                <w:color w:val="000000"/>
              </w:rPr>
            </w:pPr>
            <w:r w:rsidRPr="007824BF">
              <w:t>4.4. Annual Budget Allocation and Budget Utilization for 201</w:t>
            </w:r>
            <w:r>
              <w:t>4</w:t>
            </w:r>
          </w:p>
        </w:tc>
        <w:tc>
          <w:tcPr>
            <w:tcW w:w="729" w:type="pct"/>
            <w:noWrap/>
            <w:hideMark/>
          </w:tcPr>
          <w:p w:rsidR="009C5526" w:rsidRPr="00684747" w:rsidRDefault="009C5526" w:rsidP="00493B7E">
            <w:pPr>
              <w:jc w:val="center"/>
              <w:rPr>
                <w:rFonts w:eastAsia="Times New Roman"/>
                <w:color w:val="000000"/>
              </w:rPr>
            </w:pPr>
            <w:r>
              <w:rPr>
                <w:rFonts w:eastAsia="Times New Roman"/>
                <w:color w:val="000000"/>
              </w:rPr>
              <w:t>29</w:t>
            </w:r>
          </w:p>
        </w:tc>
      </w:tr>
      <w:tr w:rsidR="009C5526"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7824BF" w:rsidRDefault="009C5526" w:rsidP="00493B7E">
            <w:pPr>
              <w:rPr>
                <w:rFonts w:eastAsia="Times New Roman"/>
                <w:color w:val="000000"/>
              </w:rPr>
            </w:pPr>
            <w:r w:rsidRPr="007824BF">
              <w:t>4.5. Annual Budget Allocation and Budget Utilization for 201</w:t>
            </w:r>
            <w:r>
              <w:t>5</w:t>
            </w:r>
          </w:p>
        </w:tc>
        <w:tc>
          <w:tcPr>
            <w:tcW w:w="729" w:type="pct"/>
            <w:noWrap/>
            <w:hideMark/>
          </w:tcPr>
          <w:p w:rsidR="009C5526" w:rsidRPr="00684747" w:rsidRDefault="009C5526" w:rsidP="00493B7E">
            <w:pPr>
              <w:jc w:val="center"/>
              <w:rPr>
                <w:rFonts w:eastAsia="Times New Roman"/>
                <w:color w:val="000000"/>
              </w:rPr>
            </w:pPr>
            <w:r>
              <w:rPr>
                <w:rFonts w:eastAsia="Times New Roman"/>
                <w:color w:val="000000"/>
              </w:rPr>
              <w:t>29 - 30</w:t>
            </w:r>
          </w:p>
        </w:tc>
      </w:tr>
      <w:tr w:rsidR="009C5526" w:rsidRPr="00095FC4" w:rsidTr="009F50E8">
        <w:trPr>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7824BF" w:rsidRDefault="009C5526" w:rsidP="00493B7E">
            <w:r>
              <w:t xml:space="preserve">4.6. Comparison of Annual Basis Utilization of Funds </w:t>
            </w:r>
          </w:p>
        </w:tc>
        <w:tc>
          <w:tcPr>
            <w:tcW w:w="729" w:type="pct"/>
            <w:noWrap/>
            <w:hideMark/>
          </w:tcPr>
          <w:p w:rsidR="009C5526" w:rsidRDefault="009C5526" w:rsidP="00493B7E">
            <w:pPr>
              <w:jc w:val="center"/>
              <w:rPr>
                <w:rFonts w:eastAsia="Times New Roman"/>
                <w:color w:val="000000"/>
              </w:rPr>
            </w:pPr>
            <w:r>
              <w:rPr>
                <w:rFonts w:eastAsia="Times New Roman"/>
                <w:color w:val="000000"/>
              </w:rPr>
              <w:t>30</w:t>
            </w:r>
          </w:p>
        </w:tc>
      </w:tr>
      <w:tr w:rsidR="009C5526"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Pr="007824BF" w:rsidRDefault="009C5526" w:rsidP="00493B7E">
            <w:pPr>
              <w:rPr>
                <w:rFonts w:eastAsia="Times New Roman"/>
                <w:color w:val="000000"/>
              </w:rPr>
            </w:pPr>
          </w:p>
        </w:tc>
        <w:tc>
          <w:tcPr>
            <w:tcW w:w="729" w:type="pct"/>
            <w:noWrap/>
            <w:hideMark/>
          </w:tcPr>
          <w:p w:rsidR="009C5526" w:rsidRPr="00684747" w:rsidRDefault="009C5526" w:rsidP="00493B7E">
            <w:pPr>
              <w:jc w:val="center"/>
              <w:rPr>
                <w:rFonts w:eastAsia="Times New Roman"/>
                <w:color w:val="000000"/>
              </w:rPr>
            </w:pPr>
          </w:p>
        </w:tc>
      </w:tr>
      <w:tr w:rsidR="009C5526" w:rsidRPr="00095FC4" w:rsidTr="009F50E8">
        <w:trPr>
          <w:trHeight w:val="432"/>
        </w:trPr>
        <w:tc>
          <w:tcPr>
            <w:tcW w:w="1383" w:type="pct"/>
            <w:vMerge w:val="restart"/>
          </w:tcPr>
          <w:p w:rsidR="009C5526" w:rsidRDefault="009C5526" w:rsidP="00911E26">
            <w:pPr>
              <w:rPr>
                <w:rFonts w:eastAsia="Times New Roman"/>
                <w:color w:val="000000"/>
              </w:rPr>
            </w:pPr>
          </w:p>
          <w:p w:rsidR="009C5526" w:rsidRDefault="009C5526" w:rsidP="00911E26">
            <w:pPr>
              <w:rPr>
                <w:rFonts w:eastAsia="Times New Roman"/>
                <w:color w:val="000000"/>
              </w:rPr>
            </w:pPr>
          </w:p>
          <w:p w:rsidR="009C5526" w:rsidRDefault="009C5526" w:rsidP="000609FD">
            <w:pPr>
              <w:jc w:val="center"/>
              <w:rPr>
                <w:rFonts w:eastAsia="Times New Roman"/>
                <w:b/>
                <w:color w:val="000000"/>
              </w:rPr>
            </w:pPr>
          </w:p>
          <w:p w:rsidR="009C5526" w:rsidRPr="008F15FD" w:rsidRDefault="009C5526" w:rsidP="000609FD">
            <w:pPr>
              <w:jc w:val="center"/>
              <w:rPr>
                <w:rFonts w:eastAsia="Times New Roman"/>
                <w:b/>
                <w:color w:val="000000"/>
              </w:rPr>
            </w:pPr>
            <w:r w:rsidRPr="008F15FD">
              <w:rPr>
                <w:rFonts w:eastAsia="Times New Roman"/>
                <w:b/>
                <w:color w:val="000000"/>
              </w:rPr>
              <w:t>Chapter - 5</w:t>
            </w:r>
          </w:p>
        </w:tc>
        <w:tc>
          <w:tcPr>
            <w:tcW w:w="2888" w:type="pct"/>
            <w:noWrap/>
            <w:hideMark/>
          </w:tcPr>
          <w:p w:rsidR="009C5526" w:rsidRPr="008F15FD" w:rsidRDefault="009C5526" w:rsidP="00493B7E">
            <w:pPr>
              <w:rPr>
                <w:rFonts w:eastAsia="Times New Roman"/>
                <w:b/>
                <w:color w:val="000000"/>
              </w:rPr>
            </w:pPr>
            <w:r w:rsidRPr="008F15FD">
              <w:rPr>
                <w:rFonts w:eastAsia="Times New Roman"/>
                <w:b/>
                <w:color w:val="000000"/>
              </w:rPr>
              <w:t>Findings, Recommendations &amp; Conclusion</w:t>
            </w:r>
          </w:p>
        </w:tc>
        <w:tc>
          <w:tcPr>
            <w:tcW w:w="729" w:type="pct"/>
            <w:noWrap/>
            <w:hideMark/>
          </w:tcPr>
          <w:p w:rsidR="009C5526" w:rsidRPr="008F15FD" w:rsidRDefault="009C5526" w:rsidP="00CF7225">
            <w:pPr>
              <w:jc w:val="center"/>
              <w:rPr>
                <w:rFonts w:eastAsia="Times New Roman"/>
                <w:b/>
                <w:color w:val="000000"/>
              </w:rPr>
            </w:pPr>
            <w:r w:rsidRPr="008F15FD">
              <w:rPr>
                <w:rFonts w:eastAsia="Times New Roman"/>
                <w:b/>
                <w:color w:val="000000"/>
              </w:rPr>
              <w:t>31 - 3</w:t>
            </w:r>
            <w:r>
              <w:rPr>
                <w:rFonts w:eastAsia="Times New Roman"/>
                <w:b/>
                <w:color w:val="000000"/>
              </w:rPr>
              <w:t>5</w:t>
            </w:r>
          </w:p>
        </w:tc>
      </w:tr>
      <w:tr w:rsidR="009C5526"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Default="009C5526" w:rsidP="00493B7E">
            <w:pPr>
              <w:rPr>
                <w:rFonts w:eastAsia="Times New Roman"/>
                <w:color w:val="000000"/>
              </w:rPr>
            </w:pPr>
            <w:r>
              <w:rPr>
                <w:rFonts w:eastAsia="Times New Roman"/>
                <w:color w:val="000000"/>
              </w:rPr>
              <w:t xml:space="preserve">5.1. Findings </w:t>
            </w:r>
          </w:p>
        </w:tc>
        <w:tc>
          <w:tcPr>
            <w:tcW w:w="729" w:type="pct"/>
            <w:noWrap/>
            <w:hideMark/>
          </w:tcPr>
          <w:p w:rsidR="009C5526" w:rsidRDefault="009C5526" w:rsidP="008F15FD">
            <w:pPr>
              <w:jc w:val="center"/>
              <w:rPr>
                <w:rFonts w:eastAsia="Times New Roman"/>
                <w:color w:val="000000"/>
              </w:rPr>
            </w:pPr>
            <w:r>
              <w:rPr>
                <w:rFonts w:eastAsia="Times New Roman"/>
                <w:color w:val="000000"/>
              </w:rPr>
              <w:t>32</w:t>
            </w:r>
          </w:p>
        </w:tc>
      </w:tr>
      <w:tr w:rsidR="009C5526" w:rsidRPr="00095FC4" w:rsidTr="009F50E8">
        <w:trPr>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Default="009C5526" w:rsidP="00493B7E">
            <w:pPr>
              <w:rPr>
                <w:rFonts w:eastAsia="Times New Roman"/>
                <w:color w:val="000000"/>
              </w:rPr>
            </w:pPr>
            <w:r>
              <w:rPr>
                <w:rFonts w:eastAsia="Times New Roman"/>
                <w:color w:val="000000"/>
              </w:rPr>
              <w:t xml:space="preserve">5.2. Recommendations and Suggestions </w:t>
            </w:r>
          </w:p>
        </w:tc>
        <w:tc>
          <w:tcPr>
            <w:tcW w:w="729" w:type="pct"/>
            <w:noWrap/>
            <w:hideMark/>
          </w:tcPr>
          <w:p w:rsidR="009C5526" w:rsidRDefault="009C5526" w:rsidP="00CF7225">
            <w:pPr>
              <w:jc w:val="center"/>
              <w:rPr>
                <w:rFonts w:eastAsia="Times New Roman"/>
                <w:color w:val="000000"/>
              </w:rPr>
            </w:pPr>
            <w:r>
              <w:rPr>
                <w:rFonts w:eastAsia="Times New Roman"/>
                <w:color w:val="000000"/>
              </w:rPr>
              <w:t>34</w:t>
            </w:r>
          </w:p>
        </w:tc>
      </w:tr>
      <w:tr w:rsidR="009C5526"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Default="009C5526" w:rsidP="00493B7E">
            <w:pPr>
              <w:rPr>
                <w:rFonts w:eastAsia="Times New Roman"/>
                <w:color w:val="000000"/>
              </w:rPr>
            </w:pPr>
            <w:r>
              <w:rPr>
                <w:rFonts w:eastAsia="Times New Roman"/>
                <w:color w:val="000000"/>
              </w:rPr>
              <w:t>5.3. Conclusion</w:t>
            </w:r>
          </w:p>
        </w:tc>
        <w:tc>
          <w:tcPr>
            <w:tcW w:w="729" w:type="pct"/>
            <w:noWrap/>
            <w:hideMark/>
          </w:tcPr>
          <w:p w:rsidR="009C5526" w:rsidRDefault="009C5526" w:rsidP="00CF7225">
            <w:pPr>
              <w:jc w:val="center"/>
              <w:rPr>
                <w:rFonts w:eastAsia="Times New Roman"/>
                <w:color w:val="000000"/>
              </w:rPr>
            </w:pPr>
            <w:r>
              <w:rPr>
                <w:rFonts w:eastAsia="Times New Roman"/>
                <w:color w:val="000000"/>
              </w:rPr>
              <w:t>35</w:t>
            </w:r>
          </w:p>
        </w:tc>
      </w:tr>
      <w:tr w:rsidR="009C5526" w:rsidRPr="00095FC4" w:rsidTr="009F50E8">
        <w:trPr>
          <w:trHeight w:val="432"/>
        </w:trPr>
        <w:tc>
          <w:tcPr>
            <w:tcW w:w="1383" w:type="pct"/>
            <w:vMerge/>
          </w:tcPr>
          <w:p w:rsidR="009C5526" w:rsidRPr="00095FC4" w:rsidRDefault="009C5526" w:rsidP="00911E26">
            <w:pPr>
              <w:rPr>
                <w:rFonts w:eastAsia="Times New Roman"/>
                <w:color w:val="000000"/>
              </w:rPr>
            </w:pPr>
          </w:p>
        </w:tc>
        <w:tc>
          <w:tcPr>
            <w:tcW w:w="2888" w:type="pct"/>
            <w:noWrap/>
            <w:hideMark/>
          </w:tcPr>
          <w:p w:rsidR="009C5526" w:rsidRDefault="009C5526" w:rsidP="00493B7E">
            <w:pPr>
              <w:rPr>
                <w:rFonts w:eastAsia="Times New Roman"/>
                <w:color w:val="000000"/>
              </w:rPr>
            </w:pPr>
          </w:p>
        </w:tc>
        <w:tc>
          <w:tcPr>
            <w:tcW w:w="729" w:type="pct"/>
            <w:noWrap/>
            <w:hideMark/>
          </w:tcPr>
          <w:p w:rsidR="009C5526" w:rsidRDefault="009C5526" w:rsidP="00CF7225">
            <w:pPr>
              <w:jc w:val="center"/>
              <w:rPr>
                <w:rFonts w:eastAsia="Times New Roman"/>
                <w:color w:val="000000"/>
              </w:rPr>
            </w:pPr>
          </w:p>
        </w:tc>
      </w:tr>
      <w:tr w:rsidR="009C5526" w:rsidRPr="00095FC4" w:rsidTr="009F50E8">
        <w:trPr>
          <w:cnfStyle w:val="000000100000" w:firstRow="0" w:lastRow="0" w:firstColumn="0" w:lastColumn="0" w:oddVBand="0" w:evenVBand="0" w:oddHBand="1" w:evenHBand="0" w:firstRowFirstColumn="0" w:firstRowLastColumn="0" w:lastRowFirstColumn="0" w:lastRowLastColumn="0"/>
          <w:trHeight w:val="432"/>
        </w:trPr>
        <w:tc>
          <w:tcPr>
            <w:tcW w:w="1383" w:type="pct"/>
          </w:tcPr>
          <w:p w:rsidR="009C5526" w:rsidRDefault="009C5526" w:rsidP="00015317">
            <w:pPr>
              <w:jc w:val="center"/>
              <w:rPr>
                <w:rFonts w:eastAsia="Times New Roman"/>
                <w:b/>
                <w:color w:val="000000"/>
              </w:rPr>
            </w:pPr>
            <w:r>
              <w:rPr>
                <w:rFonts w:eastAsia="Times New Roman"/>
                <w:b/>
                <w:color w:val="000000"/>
              </w:rPr>
              <w:t>Bibliography</w:t>
            </w:r>
          </w:p>
          <w:p w:rsidR="009C5526" w:rsidRPr="00095FC4" w:rsidRDefault="009C5526" w:rsidP="00B8592C">
            <w:pPr>
              <w:jc w:val="center"/>
              <w:rPr>
                <w:rFonts w:eastAsia="Times New Roman"/>
                <w:color w:val="000000"/>
              </w:rPr>
            </w:pPr>
          </w:p>
        </w:tc>
        <w:tc>
          <w:tcPr>
            <w:tcW w:w="2888" w:type="pct"/>
            <w:noWrap/>
            <w:hideMark/>
          </w:tcPr>
          <w:p w:rsidR="009C5526" w:rsidRDefault="009C5526" w:rsidP="00B8592C">
            <w:pPr>
              <w:rPr>
                <w:rFonts w:eastAsia="Times New Roman"/>
                <w:color w:val="000000"/>
              </w:rPr>
            </w:pPr>
            <w:r w:rsidRPr="00663C57">
              <w:rPr>
                <w:rFonts w:eastAsia="Times New Roman"/>
                <w:color w:val="000000"/>
              </w:rPr>
              <w:t>Bibliography</w:t>
            </w:r>
          </w:p>
        </w:tc>
        <w:tc>
          <w:tcPr>
            <w:tcW w:w="729" w:type="pct"/>
            <w:noWrap/>
            <w:hideMark/>
          </w:tcPr>
          <w:p w:rsidR="009C5526" w:rsidRDefault="009C5526" w:rsidP="00B8592C">
            <w:pPr>
              <w:jc w:val="center"/>
              <w:rPr>
                <w:rFonts w:eastAsia="Times New Roman"/>
                <w:color w:val="000000"/>
              </w:rPr>
            </w:pPr>
            <w:r>
              <w:rPr>
                <w:rFonts w:eastAsia="Times New Roman"/>
                <w:color w:val="000000"/>
              </w:rPr>
              <w:t>36</w:t>
            </w:r>
          </w:p>
        </w:tc>
      </w:tr>
    </w:tbl>
    <w:p w:rsidR="004D78FA" w:rsidRPr="00DA3DAE" w:rsidRDefault="00B365F1" w:rsidP="009C5526">
      <w:pPr>
        <w:jc w:val="center"/>
        <w:rPr>
          <w:rFonts w:ascii="Times New Roman" w:hAnsi="Times New Roman" w:cs="Times New Roman"/>
          <w:b/>
          <w:color w:val="FF00FF"/>
          <w:sz w:val="32"/>
          <w:u w:val="single"/>
        </w:rPr>
      </w:pPr>
      <w:r w:rsidRPr="00DA3DAE">
        <w:rPr>
          <w:rFonts w:ascii="Times New Roman" w:hAnsi="Times New Roman" w:cs="Times New Roman"/>
          <w:b/>
          <w:color w:val="FF00FF"/>
          <w:sz w:val="32"/>
          <w:u w:val="single"/>
        </w:rPr>
        <w:lastRenderedPageBreak/>
        <w:t>Acronyms</w:t>
      </w:r>
    </w:p>
    <w:tbl>
      <w:tblPr>
        <w:tblStyle w:val="ColorfulGrid-Accent1"/>
        <w:tblW w:w="0" w:type="auto"/>
        <w:jc w:val="center"/>
        <w:tblInd w:w="648" w:type="dxa"/>
        <w:tblLook w:val="04A0" w:firstRow="1" w:lastRow="0" w:firstColumn="1" w:lastColumn="0" w:noHBand="0" w:noVBand="1"/>
      </w:tblPr>
      <w:tblGrid>
        <w:gridCol w:w="1440"/>
        <w:gridCol w:w="6030"/>
      </w:tblGrid>
      <w:tr w:rsidR="004D78FA" w:rsidTr="00016E0A">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4D78FA" w:rsidRDefault="004D78FA" w:rsidP="00B365F1">
            <w:pPr>
              <w:jc w:val="center"/>
              <w:rPr>
                <w:rFonts w:ascii="Times New Roman" w:hAnsi="Times New Roman" w:cs="Times New Roman"/>
                <w:sz w:val="32"/>
              </w:rPr>
            </w:pPr>
          </w:p>
        </w:tc>
        <w:tc>
          <w:tcPr>
            <w:tcW w:w="6030" w:type="dxa"/>
          </w:tcPr>
          <w:p w:rsidR="004D78FA" w:rsidRDefault="004D78FA" w:rsidP="004D78FA">
            <w:pPr>
              <w:tabs>
                <w:tab w:val="left" w:pos="22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rPr>
            </w:pPr>
          </w:p>
        </w:tc>
      </w:tr>
      <w:tr w:rsidR="005C590A" w:rsidTr="00016E0A">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493B7E">
            <w:pPr>
              <w:jc w:val="center"/>
              <w:rPr>
                <w:rFonts w:ascii="Times New Roman" w:hAnsi="Times New Roman" w:cs="Times New Roman"/>
                <w:b/>
                <w:sz w:val="24"/>
                <w:szCs w:val="24"/>
              </w:rPr>
            </w:pPr>
            <w:r w:rsidRPr="00B6162A">
              <w:rPr>
                <w:rFonts w:ascii="Times New Roman" w:hAnsi="Times New Roman" w:cs="Times New Roman"/>
                <w:b/>
                <w:sz w:val="24"/>
                <w:szCs w:val="24"/>
              </w:rPr>
              <w:t>AAUs</w:t>
            </w:r>
          </w:p>
        </w:tc>
        <w:tc>
          <w:tcPr>
            <w:tcW w:w="6030" w:type="dxa"/>
          </w:tcPr>
          <w:p w:rsidR="005C590A" w:rsidRPr="000C00C9" w:rsidRDefault="005C590A" w:rsidP="00725FAA">
            <w:pPr>
              <w:tabs>
                <w:tab w:val="left" w:pos="22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Assigned Amount Units</w:t>
            </w:r>
          </w:p>
        </w:tc>
      </w:tr>
      <w:tr w:rsidR="005C590A" w:rsidTr="00016E0A">
        <w:trPr>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BB</w:t>
            </w:r>
          </w:p>
        </w:tc>
        <w:tc>
          <w:tcPr>
            <w:tcW w:w="6030" w:type="dxa"/>
          </w:tcPr>
          <w:p w:rsidR="005C590A" w:rsidRPr="000C00C9" w:rsidRDefault="005C590A" w:rsidP="00725F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Bangladesh Bank</w:t>
            </w:r>
          </w:p>
        </w:tc>
      </w:tr>
      <w:tr w:rsidR="005C590A" w:rsidTr="00016E0A">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CRM</w:t>
            </w:r>
          </w:p>
        </w:tc>
        <w:tc>
          <w:tcPr>
            <w:tcW w:w="6030" w:type="dxa"/>
          </w:tcPr>
          <w:p w:rsidR="005C590A" w:rsidRPr="000C00C9" w:rsidRDefault="005C590A" w:rsidP="00725F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Core Risk Management</w:t>
            </w:r>
          </w:p>
        </w:tc>
      </w:tr>
      <w:tr w:rsidR="005C590A" w:rsidTr="00016E0A">
        <w:trPr>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CSR</w:t>
            </w:r>
          </w:p>
        </w:tc>
        <w:tc>
          <w:tcPr>
            <w:tcW w:w="6030" w:type="dxa"/>
          </w:tcPr>
          <w:p w:rsidR="005C590A" w:rsidRPr="000C00C9" w:rsidRDefault="005C590A" w:rsidP="00725F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Corporate Social Responsibility</w:t>
            </w:r>
          </w:p>
        </w:tc>
      </w:tr>
      <w:tr w:rsidR="005C590A" w:rsidTr="00016E0A">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EDD</w:t>
            </w:r>
          </w:p>
        </w:tc>
        <w:tc>
          <w:tcPr>
            <w:tcW w:w="6030" w:type="dxa"/>
          </w:tcPr>
          <w:p w:rsidR="005C590A" w:rsidRPr="000C00C9" w:rsidRDefault="005C590A" w:rsidP="00725F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Environment Due Diligence</w:t>
            </w:r>
          </w:p>
        </w:tc>
      </w:tr>
      <w:tr w:rsidR="005C590A" w:rsidTr="00016E0A">
        <w:trPr>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proofErr w:type="spellStart"/>
            <w:r w:rsidRPr="00B6162A">
              <w:rPr>
                <w:rFonts w:ascii="Times New Roman" w:hAnsi="Times New Roman" w:cs="Times New Roman"/>
                <w:b/>
                <w:sz w:val="24"/>
                <w:szCs w:val="24"/>
              </w:rPr>
              <w:t>EnvRR</w:t>
            </w:r>
            <w:proofErr w:type="spellEnd"/>
          </w:p>
        </w:tc>
        <w:tc>
          <w:tcPr>
            <w:tcW w:w="6030" w:type="dxa"/>
          </w:tcPr>
          <w:p w:rsidR="005C590A" w:rsidRPr="000C00C9" w:rsidRDefault="005C590A" w:rsidP="00725F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Environment Risk Rating</w:t>
            </w:r>
          </w:p>
        </w:tc>
      </w:tr>
      <w:tr w:rsidR="005C590A" w:rsidTr="00016E0A">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ERM</w:t>
            </w:r>
          </w:p>
        </w:tc>
        <w:tc>
          <w:tcPr>
            <w:tcW w:w="6030" w:type="dxa"/>
          </w:tcPr>
          <w:p w:rsidR="005C590A" w:rsidRPr="000C00C9" w:rsidRDefault="005C590A" w:rsidP="00725F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Environment Risk Management</w:t>
            </w:r>
          </w:p>
        </w:tc>
      </w:tr>
      <w:tr w:rsidR="005C590A" w:rsidTr="00016E0A">
        <w:trPr>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ETP</w:t>
            </w:r>
          </w:p>
        </w:tc>
        <w:tc>
          <w:tcPr>
            <w:tcW w:w="6030" w:type="dxa"/>
          </w:tcPr>
          <w:p w:rsidR="005C590A" w:rsidRPr="000C00C9" w:rsidRDefault="005C590A" w:rsidP="00725F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Effluent Treatment Plant</w:t>
            </w:r>
          </w:p>
        </w:tc>
      </w:tr>
      <w:tr w:rsidR="005C590A" w:rsidTr="00016E0A">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FCBs</w:t>
            </w:r>
          </w:p>
        </w:tc>
        <w:tc>
          <w:tcPr>
            <w:tcW w:w="6030" w:type="dxa"/>
          </w:tcPr>
          <w:p w:rsidR="005C590A" w:rsidRPr="000C00C9" w:rsidRDefault="005C590A" w:rsidP="00725F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Foreign Commercial Banks</w:t>
            </w:r>
          </w:p>
        </w:tc>
      </w:tr>
      <w:tr w:rsidR="005C590A" w:rsidTr="00016E0A">
        <w:trPr>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GBU</w:t>
            </w:r>
          </w:p>
        </w:tc>
        <w:tc>
          <w:tcPr>
            <w:tcW w:w="6030" w:type="dxa"/>
          </w:tcPr>
          <w:p w:rsidR="005C590A" w:rsidRPr="000C00C9" w:rsidRDefault="005C590A" w:rsidP="00725F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Green Banking Unit</w:t>
            </w:r>
          </w:p>
        </w:tc>
      </w:tr>
      <w:tr w:rsidR="005C590A" w:rsidTr="00016E0A">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GIS</w:t>
            </w:r>
          </w:p>
        </w:tc>
        <w:tc>
          <w:tcPr>
            <w:tcW w:w="6030" w:type="dxa"/>
          </w:tcPr>
          <w:p w:rsidR="005C590A" w:rsidRPr="000C00C9" w:rsidRDefault="005C590A" w:rsidP="00725F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 xml:space="preserve">Green Investment Schemes </w:t>
            </w:r>
          </w:p>
        </w:tc>
      </w:tr>
      <w:tr w:rsidR="005C590A" w:rsidTr="00016E0A">
        <w:trPr>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HHK</w:t>
            </w:r>
          </w:p>
        </w:tc>
        <w:tc>
          <w:tcPr>
            <w:tcW w:w="6030" w:type="dxa"/>
          </w:tcPr>
          <w:p w:rsidR="005C590A" w:rsidRPr="000C00C9" w:rsidRDefault="005C590A" w:rsidP="00725F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Hybrid Hoffman Kiln</w:t>
            </w:r>
          </w:p>
        </w:tc>
      </w:tr>
      <w:tr w:rsidR="005C590A" w:rsidTr="00016E0A">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IGOs</w:t>
            </w:r>
          </w:p>
        </w:tc>
        <w:tc>
          <w:tcPr>
            <w:tcW w:w="6030" w:type="dxa"/>
          </w:tcPr>
          <w:p w:rsidR="005C590A" w:rsidRPr="000C00C9" w:rsidRDefault="005C590A" w:rsidP="00725F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 xml:space="preserve">International Government Organizations </w:t>
            </w:r>
          </w:p>
        </w:tc>
      </w:tr>
      <w:tr w:rsidR="005C590A" w:rsidTr="00016E0A">
        <w:trPr>
          <w:trHeight w:val="49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IFIs</w:t>
            </w:r>
          </w:p>
        </w:tc>
        <w:tc>
          <w:tcPr>
            <w:tcW w:w="6030" w:type="dxa"/>
          </w:tcPr>
          <w:p w:rsidR="005C590A" w:rsidRPr="000C00C9" w:rsidRDefault="005C590A" w:rsidP="00725F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 xml:space="preserve">International Financial Institutes </w:t>
            </w:r>
          </w:p>
        </w:tc>
      </w:tr>
      <w:tr w:rsidR="005C590A" w:rsidTr="00016E0A">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LAN</w:t>
            </w:r>
          </w:p>
        </w:tc>
        <w:tc>
          <w:tcPr>
            <w:tcW w:w="6030" w:type="dxa"/>
          </w:tcPr>
          <w:p w:rsidR="005C590A" w:rsidRPr="000C00C9" w:rsidRDefault="005C590A" w:rsidP="00725F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Local Area Network</w:t>
            </w:r>
          </w:p>
        </w:tc>
      </w:tr>
      <w:tr w:rsidR="005C590A" w:rsidTr="00016E0A">
        <w:trPr>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PCBs</w:t>
            </w:r>
          </w:p>
        </w:tc>
        <w:tc>
          <w:tcPr>
            <w:tcW w:w="6030" w:type="dxa"/>
          </w:tcPr>
          <w:p w:rsidR="005C590A" w:rsidRPr="000C00C9" w:rsidRDefault="005C590A" w:rsidP="00725F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Private Commercial Banks</w:t>
            </w:r>
          </w:p>
        </w:tc>
      </w:tr>
      <w:tr w:rsidR="005C590A" w:rsidTr="00016E0A">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SCBs</w:t>
            </w:r>
          </w:p>
        </w:tc>
        <w:tc>
          <w:tcPr>
            <w:tcW w:w="6030" w:type="dxa"/>
          </w:tcPr>
          <w:p w:rsidR="005C590A" w:rsidRPr="000C00C9" w:rsidRDefault="005C590A" w:rsidP="00725F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State-owned Commercial Banks</w:t>
            </w:r>
          </w:p>
        </w:tc>
      </w:tr>
      <w:tr w:rsidR="005C590A" w:rsidTr="00016E0A">
        <w:trPr>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SDBs</w:t>
            </w:r>
          </w:p>
        </w:tc>
        <w:tc>
          <w:tcPr>
            <w:tcW w:w="6030" w:type="dxa"/>
          </w:tcPr>
          <w:p w:rsidR="005C590A" w:rsidRPr="000C00C9" w:rsidRDefault="005C590A" w:rsidP="00725F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Specialized Development Banks</w:t>
            </w:r>
          </w:p>
        </w:tc>
      </w:tr>
      <w:tr w:rsidR="005C590A" w:rsidTr="00016E0A">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SEF</w:t>
            </w:r>
          </w:p>
        </w:tc>
        <w:tc>
          <w:tcPr>
            <w:tcW w:w="6030" w:type="dxa"/>
          </w:tcPr>
          <w:p w:rsidR="005C590A" w:rsidRPr="000C00C9" w:rsidRDefault="005C590A" w:rsidP="00725F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Sustainable Energy Finance</w:t>
            </w:r>
          </w:p>
        </w:tc>
      </w:tr>
      <w:tr w:rsidR="005C590A" w:rsidTr="00016E0A">
        <w:trPr>
          <w:trHeight w:val="478"/>
          <w:jc w:val="center"/>
        </w:trPr>
        <w:tc>
          <w:tcPr>
            <w:cnfStyle w:val="001000000000" w:firstRow="0" w:lastRow="0" w:firstColumn="1" w:lastColumn="0" w:oddVBand="0" w:evenVBand="0" w:oddHBand="0" w:evenHBand="0" w:firstRowFirstColumn="0" w:firstRowLastColumn="0" w:lastRowFirstColumn="0" w:lastRowLastColumn="0"/>
            <w:tcW w:w="1440" w:type="dxa"/>
          </w:tcPr>
          <w:p w:rsidR="005C590A" w:rsidRPr="00B6162A" w:rsidRDefault="005C590A" w:rsidP="00B365F1">
            <w:pPr>
              <w:jc w:val="center"/>
              <w:rPr>
                <w:rFonts w:ascii="Times New Roman" w:hAnsi="Times New Roman" w:cs="Times New Roman"/>
                <w:b/>
                <w:sz w:val="24"/>
                <w:szCs w:val="24"/>
              </w:rPr>
            </w:pPr>
            <w:r w:rsidRPr="00B6162A">
              <w:rPr>
                <w:rFonts w:ascii="Times New Roman" w:hAnsi="Times New Roman" w:cs="Times New Roman"/>
                <w:b/>
                <w:sz w:val="24"/>
                <w:szCs w:val="24"/>
              </w:rPr>
              <w:t>WAN</w:t>
            </w:r>
          </w:p>
        </w:tc>
        <w:tc>
          <w:tcPr>
            <w:tcW w:w="6030" w:type="dxa"/>
          </w:tcPr>
          <w:p w:rsidR="005C590A" w:rsidRPr="000C00C9" w:rsidRDefault="005C590A" w:rsidP="00725F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00C9">
              <w:rPr>
                <w:rFonts w:ascii="Times New Roman" w:hAnsi="Times New Roman" w:cs="Times New Roman"/>
                <w:sz w:val="24"/>
                <w:szCs w:val="24"/>
              </w:rPr>
              <w:t>Wide Area Network</w:t>
            </w:r>
          </w:p>
        </w:tc>
      </w:tr>
    </w:tbl>
    <w:p w:rsidR="00B365F1" w:rsidRPr="00B365F1" w:rsidRDefault="00B365F1" w:rsidP="00B365F1">
      <w:pPr>
        <w:jc w:val="center"/>
        <w:rPr>
          <w:rFonts w:ascii="Times New Roman" w:hAnsi="Times New Roman" w:cs="Times New Roman"/>
          <w:sz w:val="32"/>
        </w:rPr>
      </w:pPr>
    </w:p>
    <w:p w:rsidR="00B23466" w:rsidRDefault="00B23466" w:rsidP="00E05CA5">
      <w:pPr>
        <w:tabs>
          <w:tab w:val="left" w:pos="2450"/>
        </w:tabs>
        <w:jc w:val="both"/>
        <w:rPr>
          <w:rFonts w:ascii="Times New Roman" w:hAnsi="Times New Roman" w:cs="Times New Roman"/>
          <w:sz w:val="28"/>
        </w:rPr>
      </w:pPr>
    </w:p>
    <w:p w:rsidR="005C590A" w:rsidRDefault="005C590A" w:rsidP="00E05CA5">
      <w:pPr>
        <w:tabs>
          <w:tab w:val="left" w:pos="2450"/>
        </w:tabs>
        <w:jc w:val="both"/>
        <w:rPr>
          <w:rFonts w:ascii="Times New Roman" w:hAnsi="Times New Roman" w:cs="Times New Roman"/>
          <w:sz w:val="28"/>
        </w:rPr>
      </w:pPr>
    </w:p>
    <w:p w:rsidR="0053532A" w:rsidRDefault="0053532A" w:rsidP="00493B7E">
      <w:pPr>
        <w:spacing w:after="0"/>
        <w:jc w:val="center"/>
        <w:rPr>
          <w:rFonts w:ascii="Times New Roman" w:hAnsi="Times New Roman" w:cs="Times New Roman"/>
          <w:b/>
          <w:color w:val="FF00FF"/>
          <w:sz w:val="32"/>
          <w:u w:val="single"/>
        </w:rPr>
      </w:pPr>
    </w:p>
    <w:p w:rsidR="0053532A" w:rsidRDefault="0053532A" w:rsidP="00493B7E">
      <w:pPr>
        <w:spacing w:after="0"/>
        <w:jc w:val="center"/>
        <w:rPr>
          <w:rFonts w:ascii="Times New Roman" w:hAnsi="Times New Roman" w:cs="Times New Roman"/>
          <w:b/>
          <w:color w:val="FF00FF"/>
          <w:sz w:val="32"/>
          <w:u w:val="single"/>
        </w:rPr>
      </w:pPr>
    </w:p>
    <w:p w:rsidR="0053532A" w:rsidRDefault="0053532A" w:rsidP="00493B7E">
      <w:pPr>
        <w:spacing w:after="0"/>
        <w:jc w:val="center"/>
        <w:rPr>
          <w:rFonts w:ascii="Times New Roman" w:hAnsi="Times New Roman" w:cs="Times New Roman"/>
          <w:b/>
          <w:color w:val="FF00FF"/>
          <w:sz w:val="32"/>
          <w:u w:val="single"/>
        </w:rPr>
      </w:pPr>
    </w:p>
    <w:p w:rsidR="00493B7E" w:rsidRPr="00DA3DAE" w:rsidRDefault="00493B7E" w:rsidP="00493B7E">
      <w:pPr>
        <w:spacing w:after="0"/>
        <w:jc w:val="center"/>
        <w:rPr>
          <w:rFonts w:ascii="Times New Roman" w:hAnsi="Times New Roman" w:cs="Times New Roman"/>
          <w:b/>
          <w:color w:val="FF00FF"/>
          <w:sz w:val="32"/>
          <w:u w:val="single"/>
        </w:rPr>
      </w:pPr>
      <w:r w:rsidRPr="00DA3DAE">
        <w:rPr>
          <w:rFonts w:ascii="Times New Roman" w:hAnsi="Times New Roman" w:cs="Times New Roman"/>
          <w:b/>
          <w:color w:val="FF00FF"/>
          <w:sz w:val="32"/>
          <w:u w:val="single"/>
        </w:rPr>
        <w:lastRenderedPageBreak/>
        <w:t>List of Tables</w:t>
      </w:r>
    </w:p>
    <w:tbl>
      <w:tblPr>
        <w:tblStyle w:val="MediumGrid2-Accent1"/>
        <w:tblW w:w="5000" w:type="pct"/>
        <w:tblLook w:val="0420" w:firstRow="1" w:lastRow="0" w:firstColumn="0" w:lastColumn="0" w:noHBand="0" w:noVBand="1"/>
      </w:tblPr>
      <w:tblGrid>
        <w:gridCol w:w="1428"/>
        <w:gridCol w:w="1430"/>
        <w:gridCol w:w="5076"/>
        <w:gridCol w:w="1309"/>
      </w:tblGrid>
      <w:tr w:rsidR="00493B7E" w:rsidRPr="008428CD" w:rsidTr="00DA3DAE">
        <w:trPr>
          <w:cnfStyle w:val="100000000000" w:firstRow="1" w:lastRow="0" w:firstColumn="0" w:lastColumn="0" w:oddVBand="0" w:evenVBand="0" w:oddHBand="0" w:evenHBand="0" w:firstRowFirstColumn="0" w:firstRowLastColumn="0" w:lastRowFirstColumn="0" w:lastRowLastColumn="0"/>
          <w:trHeight w:val="432"/>
        </w:trPr>
        <w:tc>
          <w:tcPr>
            <w:tcW w:w="785" w:type="pct"/>
          </w:tcPr>
          <w:p w:rsidR="00493B7E" w:rsidRPr="00DA3DAE" w:rsidRDefault="00493B7E" w:rsidP="00DC2368">
            <w:pPr>
              <w:rPr>
                <w:rFonts w:eastAsia="Times New Roman"/>
                <w:color w:val="0000FF"/>
                <w:sz w:val="28"/>
              </w:rPr>
            </w:pPr>
            <w:r w:rsidRPr="00DA3DAE">
              <w:rPr>
                <w:rFonts w:eastAsia="Times New Roman"/>
                <w:color w:val="0000FF"/>
                <w:sz w:val="28"/>
              </w:rPr>
              <w:t>Chapter</w:t>
            </w:r>
          </w:p>
        </w:tc>
        <w:tc>
          <w:tcPr>
            <w:tcW w:w="786" w:type="pct"/>
          </w:tcPr>
          <w:p w:rsidR="00493B7E" w:rsidRPr="00DA3DAE" w:rsidRDefault="00493B7E" w:rsidP="00DC2368">
            <w:pPr>
              <w:rPr>
                <w:rFonts w:eastAsia="Times New Roman"/>
                <w:color w:val="0000FF"/>
                <w:sz w:val="28"/>
              </w:rPr>
            </w:pPr>
            <w:r w:rsidRPr="00DA3DAE">
              <w:rPr>
                <w:rFonts w:eastAsia="Times New Roman"/>
                <w:color w:val="0000FF"/>
                <w:sz w:val="28"/>
              </w:rPr>
              <w:t>Table No.</w:t>
            </w:r>
          </w:p>
        </w:tc>
        <w:tc>
          <w:tcPr>
            <w:tcW w:w="2758" w:type="pct"/>
            <w:noWrap/>
            <w:hideMark/>
          </w:tcPr>
          <w:p w:rsidR="00493B7E" w:rsidRPr="00DA3DAE" w:rsidRDefault="00493B7E" w:rsidP="00DA3DAE">
            <w:pPr>
              <w:jc w:val="center"/>
              <w:rPr>
                <w:rFonts w:eastAsia="Times New Roman"/>
                <w:color w:val="0000FF"/>
                <w:sz w:val="28"/>
              </w:rPr>
            </w:pPr>
            <w:r w:rsidRPr="00DA3DAE">
              <w:rPr>
                <w:rFonts w:eastAsia="Times New Roman"/>
                <w:color w:val="0000FF"/>
                <w:sz w:val="28"/>
              </w:rPr>
              <w:t>Table Name</w:t>
            </w:r>
          </w:p>
        </w:tc>
        <w:tc>
          <w:tcPr>
            <w:tcW w:w="671" w:type="pct"/>
            <w:noWrap/>
            <w:hideMark/>
          </w:tcPr>
          <w:p w:rsidR="00493B7E" w:rsidRPr="00DA3DAE" w:rsidRDefault="00493B7E" w:rsidP="00DC2368">
            <w:pPr>
              <w:rPr>
                <w:rFonts w:eastAsia="Times New Roman"/>
                <w:color w:val="0000FF"/>
                <w:sz w:val="28"/>
              </w:rPr>
            </w:pPr>
            <w:r w:rsidRPr="00DA3DAE">
              <w:rPr>
                <w:rFonts w:eastAsia="Times New Roman"/>
                <w:color w:val="0000FF"/>
                <w:sz w:val="28"/>
              </w:rPr>
              <w:t>Page No.</w:t>
            </w:r>
          </w:p>
        </w:tc>
      </w:tr>
      <w:tr w:rsidR="004E098B" w:rsidRPr="008428CD" w:rsidTr="00DA3DAE">
        <w:trPr>
          <w:cnfStyle w:val="000000100000" w:firstRow="0" w:lastRow="0" w:firstColumn="0" w:lastColumn="0" w:oddVBand="0" w:evenVBand="0" w:oddHBand="1" w:evenHBand="0" w:firstRowFirstColumn="0" w:firstRowLastColumn="0" w:lastRowFirstColumn="0" w:lastRowLastColumn="0"/>
          <w:trHeight w:val="432"/>
        </w:trPr>
        <w:tc>
          <w:tcPr>
            <w:tcW w:w="785" w:type="pct"/>
            <w:vMerge w:val="restart"/>
          </w:tcPr>
          <w:p w:rsidR="00DA3DAE" w:rsidRDefault="00DA3DAE" w:rsidP="004E098B">
            <w:pPr>
              <w:jc w:val="center"/>
              <w:rPr>
                <w:rFonts w:eastAsia="Times New Roman"/>
                <w:b/>
                <w:color w:val="000000"/>
              </w:rPr>
            </w:pPr>
          </w:p>
          <w:p w:rsidR="00DA3DAE" w:rsidRDefault="00DA3DAE" w:rsidP="004E098B">
            <w:pPr>
              <w:jc w:val="center"/>
              <w:rPr>
                <w:rFonts w:eastAsia="Times New Roman"/>
                <w:b/>
                <w:color w:val="000000"/>
              </w:rPr>
            </w:pPr>
          </w:p>
          <w:p w:rsidR="00DA3DAE" w:rsidRDefault="00DA3DAE" w:rsidP="004E098B">
            <w:pPr>
              <w:jc w:val="center"/>
              <w:rPr>
                <w:rFonts w:eastAsia="Times New Roman"/>
                <w:b/>
                <w:color w:val="000000"/>
              </w:rPr>
            </w:pPr>
          </w:p>
          <w:p w:rsidR="00DA3DAE" w:rsidRDefault="00DA3DAE" w:rsidP="004E098B">
            <w:pPr>
              <w:jc w:val="center"/>
              <w:rPr>
                <w:rFonts w:eastAsia="Times New Roman"/>
                <w:b/>
                <w:color w:val="000000"/>
              </w:rPr>
            </w:pPr>
          </w:p>
          <w:p w:rsidR="00DA3DAE" w:rsidRDefault="00DA3DAE" w:rsidP="004E098B">
            <w:pPr>
              <w:jc w:val="center"/>
              <w:rPr>
                <w:rFonts w:eastAsia="Times New Roman"/>
                <w:b/>
                <w:color w:val="000000"/>
              </w:rPr>
            </w:pPr>
          </w:p>
          <w:p w:rsidR="00DA3DAE" w:rsidRDefault="00DA3DAE" w:rsidP="004E098B">
            <w:pPr>
              <w:jc w:val="center"/>
              <w:rPr>
                <w:rFonts w:eastAsia="Times New Roman"/>
                <w:b/>
                <w:color w:val="000000"/>
              </w:rPr>
            </w:pPr>
          </w:p>
          <w:p w:rsidR="00DA3DAE" w:rsidRDefault="00DA3DAE" w:rsidP="004E098B">
            <w:pPr>
              <w:jc w:val="center"/>
              <w:rPr>
                <w:rFonts w:eastAsia="Times New Roman"/>
                <w:b/>
                <w:color w:val="000000"/>
              </w:rPr>
            </w:pPr>
          </w:p>
          <w:p w:rsidR="004E098B" w:rsidRPr="004E098B" w:rsidRDefault="004E098B" w:rsidP="004E098B">
            <w:pPr>
              <w:jc w:val="center"/>
              <w:rPr>
                <w:rFonts w:eastAsia="Times New Roman"/>
                <w:b/>
                <w:color w:val="000000"/>
              </w:rPr>
            </w:pPr>
            <w:r w:rsidRPr="004E098B">
              <w:rPr>
                <w:rFonts w:eastAsia="Times New Roman"/>
                <w:b/>
                <w:color w:val="000000"/>
              </w:rPr>
              <w:t>Chapter 3</w:t>
            </w:r>
          </w:p>
        </w:tc>
        <w:tc>
          <w:tcPr>
            <w:tcW w:w="786" w:type="pct"/>
          </w:tcPr>
          <w:p w:rsidR="004E098B" w:rsidRPr="008428CD" w:rsidRDefault="004E098B" w:rsidP="00493B7E">
            <w:pPr>
              <w:rPr>
                <w:rFonts w:eastAsia="Times New Roman"/>
                <w:color w:val="000000"/>
              </w:rPr>
            </w:pPr>
          </w:p>
        </w:tc>
        <w:tc>
          <w:tcPr>
            <w:tcW w:w="2758" w:type="pct"/>
            <w:noWrap/>
            <w:hideMark/>
          </w:tcPr>
          <w:p w:rsidR="004E098B" w:rsidRPr="008428CD" w:rsidRDefault="004E098B" w:rsidP="00493B7E">
            <w:pPr>
              <w:rPr>
                <w:rFonts w:eastAsia="Times New Roman"/>
                <w:color w:val="000000"/>
              </w:rPr>
            </w:pPr>
          </w:p>
        </w:tc>
        <w:tc>
          <w:tcPr>
            <w:tcW w:w="671" w:type="pct"/>
            <w:noWrap/>
            <w:hideMark/>
          </w:tcPr>
          <w:p w:rsidR="004E098B" w:rsidRPr="008428CD" w:rsidRDefault="004E098B" w:rsidP="00DC2368">
            <w:pPr>
              <w:jc w:val="center"/>
              <w:rPr>
                <w:rFonts w:eastAsia="Times New Roman"/>
                <w:color w:val="000000"/>
              </w:rPr>
            </w:pPr>
          </w:p>
        </w:tc>
      </w:tr>
      <w:tr w:rsidR="004E098B" w:rsidRPr="008428CD" w:rsidTr="00DA3DAE">
        <w:trPr>
          <w:trHeight w:val="432"/>
        </w:trPr>
        <w:tc>
          <w:tcPr>
            <w:tcW w:w="785" w:type="pct"/>
            <w:vMerge/>
          </w:tcPr>
          <w:p w:rsidR="004E098B" w:rsidRPr="008428CD" w:rsidRDefault="004E098B" w:rsidP="00DC2368">
            <w:pPr>
              <w:rPr>
                <w:rFonts w:eastAsia="Times New Roman"/>
                <w:color w:val="000000"/>
              </w:rPr>
            </w:pPr>
          </w:p>
        </w:tc>
        <w:tc>
          <w:tcPr>
            <w:tcW w:w="786" w:type="pct"/>
          </w:tcPr>
          <w:p w:rsidR="004E098B" w:rsidRPr="008428CD" w:rsidRDefault="004E098B" w:rsidP="008A1D81">
            <w:pPr>
              <w:rPr>
                <w:rFonts w:eastAsia="Times New Roman"/>
                <w:color w:val="000000"/>
              </w:rPr>
            </w:pPr>
            <w:r w:rsidRPr="008428CD">
              <w:rPr>
                <w:rFonts w:eastAsia="Times New Roman"/>
                <w:color w:val="000000"/>
              </w:rPr>
              <w:t xml:space="preserve">Table </w:t>
            </w:r>
            <w:r>
              <w:rPr>
                <w:rFonts w:eastAsia="Times New Roman"/>
                <w:color w:val="000000"/>
              </w:rPr>
              <w:t>3</w:t>
            </w:r>
            <w:r w:rsidRPr="008428CD">
              <w:rPr>
                <w:rFonts w:eastAsia="Times New Roman"/>
                <w:color w:val="000000"/>
              </w:rPr>
              <w:t>.</w:t>
            </w:r>
            <w:r w:rsidR="008A1D81">
              <w:rPr>
                <w:rFonts w:eastAsia="Times New Roman"/>
                <w:color w:val="000000"/>
              </w:rPr>
              <w:t>3</w:t>
            </w:r>
          </w:p>
        </w:tc>
        <w:tc>
          <w:tcPr>
            <w:tcW w:w="2758" w:type="pct"/>
            <w:noWrap/>
            <w:hideMark/>
          </w:tcPr>
          <w:p w:rsidR="004E098B" w:rsidRPr="008428CD" w:rsidRDefault="004E098B" w:rsidP="00DC2368">
            <w:pPr>
              <w:rPr>
                <w:rFonts w:eastAsia="Times New Roman"/>
                <w:color w:val="000000"/>
              </w:rPr>
            </w:pPr>
            <w:r>
              <w:rPr>
                <w:rFonts w:eastAsia="Times New Roman"/>
                <w:color w:val="000000"/>
              </w:rPr>
              <w:t>Direct and Indirect Finance During 2012 - 2015</w:t>
            </w:r>
          </w:p>
        </w:tc>
        <w:tc>
          <w:tcPr>
            <w:tcW w:w="671" w:type="pct"/>
            <w:noWrap/>
            <w:hideMark/>
          </w:tcPr>
          <w:p w:rsidR="004E098B" w:rsidRPr="008428CD" w:rsidRDefault="004E098B" w:rsidP="00DC2368">
            <w:pPr>
              <w:jc w:val="center"/>
              <w:rPr>
                <w:rFonts w:eastAsia="Times New Roman"/>
                <w:color w:val="000000"/>
              </w:rPr>
            </w:pPr>
            <w:r>
              <w:rPr>
                <w:rFonts w:eastAsia="Times New Roman"/>
                <w:color w:val="000000"/>
              </w:rPr>
              <w:t>17</w:t>
            </w:r>
          </w:p>
        </w:tc>
      </w:tr>
      <w:tr w:rsidR="004E098B" w:rsidRPr="008428CD" w:rsidTr="00DA3DAE">
        <w:trPr>
          <w:cnfStyle w:val="000000100000" w:firstRow="0" w:lastRow="0" w:firstColumn="0" w:lastColumn="0" w:oddVBand="0" w:evenVBand="0" w:oddHBand="1" w:evenHBand="0" w:firstRowFirstColumn="0" w:firstRowLastColumn="0" w:lastRowFirstColumn="0" w:lastRowLastColumn="0"/>
          <w:trHeight w:val="432"/>
        </w:trPr>
        <w:tc>
          <w:tcPr>
            <w:tcW w:w="785" w:type="pct"/>
            <w:vMerge/>
          </w:tcPr>
          <w:p w:rsidR="004E098B" w:rsidRPr="008428CD" w:rsidRDefault="004E098B" w:rsidP="00DC2368">
            <w:pPr>
              <w:rPr>
                <w:rFonts w:eastAsia="Times New Roman"/>
                <w:color w:val="000000"/>
              </w:rPr>
            </w:pPr>
          </w:p>
        </w:tc>
        <w:tc>
          <w:tcPr>
            <w:tcW w:w="786" w:type="pct"/>
          </w:tcPr>
          <w:p w:rsidR="004E098B" w:rsidRPr="008428CD" w:rsidRDefault="004E098B" w:rsidP="008A1D81">
            <w:pPr>
              <w:rPr>
                <w:rFonts w:eastAsia="Times New Roman"/>
                <w:color w:val="000000"/>
              </w:rPr>
            </w:pPr>
            <w:r w:rsidRPr="008428CD">
              <w:rPr>
                <w:rFonts w:eastAsia="Times New Roman"/>
                <w:color w:val="000000"/>
              </w:rPr>
              <w:t xml:space="preserve">Table </w:t>
            </w:r>
            <w:r>
              <w:rPr>
                <w:rFonts w:eastAsia="Times New Roman"/>
                <w:color w:val="000000"/>
              </w:rPr>
              <w:t>3.</w:t>
            </w:r>
            <w:r w:rsidR="008A1D81">
              <w:rPr>
                <w:rFonts w:eastAsia="Times New Roman"/>
                <w:color w:val="000000"/>
              </w:rPr>
              <w:t>4</w:t>
            </w:r>
          </w:p>
        </w:tc>
        <w:tc>
          <w:tcPr>
            <w:tcW w:w="2758" w:type="pct"/>
            <w:noWrap/>
            <w:hideMark/>
          </w:tcPr>
          <w:p w:rsidR="004E098B" w:rsidRPr="008428CD" w:rsidRDefault="004E098B" w:rsidP="00DC2368">
            <w:pPr>
              <w:rPr>
                <w:rFonts w:eastAsia="Times New Roman"/>
                <w:color w:val="000000"/>
              </w:rPr>
            </w:pPr>
            <w:r>
              <w:rPr>
                <w:rFonts w:eastAsia="Times New Roman"/>
                <w:color w:val="000000"/>
              </w:rPr>
              <w:t>Investment in Green Finance Project/Event</w:t>
            </w:r>
          </w:p>
        </w:tc>
        <w:tc>
          <w:tcPr>
            <w:tcW w:w="671" w:type="pct"/>
            <w:noWrap/>
            <w:hideMark/>
          </w:tcPr>
          <w:p w:rsidR="004E098B" w:rsidRPr="008428CD" w:rsidRDefault="004E098B" w:rsidP="00DC2368">
            <w:pPr>
              <w:jc w:val="center"/>
              <w:rPr>
                <w:rFonts w:eastAsia="Times New Roman"/>
                <w:color w:val="000000"/>
              </w:rPr>
            </w:pPr>
            <w:r>
              <w:rPr>
                <w:rFonts w:eastAsia="Times New Roman"/>
                <w:color w:val="000000"/>
              </w:rPr>
              <w:t>19</w:t>
            </w:r>
          </w:p>
        </w:tc>
      </w:tr>
      <w:tr w:rsidR="004E098B" w:rsidRPr="008428CD" w:rsidTr="00DA3DAE">
        <w:trPr>
          <w:trHeight w:val="432"/>
        </w:trPr>
        <w:tc>
          <w:tcPr>
            <w:tcW w:w="785" w:type="pct"/>
            <w:vMerge/>
          </w:tcPr>
          <w:p w:rsidR="004E098B" w:rsidRPr="008428CD" w:rsidRDefault="004E098B" w:rsidP="00DC2368">
            <w:pPr>
              <w:rPr>
                <w:rFonts w:eastAsia="Times New Roman"/>
                <w:color w:val="000000"/>
              </w:rPr>
            </w:pPr>
          </w:p>
        </w:tc>
        <w:tc>
          <w:tcPr>
            <w:tcW w:w="786" w:type="pct"/>
          </w:tcPr>
          <w:p w:rsidR="004E098B" w:rsidRPr="008428CD" w:rsidRDefault="004E098B" w:rsidP="008A1D81">
            <w:pPr>
              <w:rPr>
                <w:rFonts w:eastAsia="Times New Roman"/>
                <w:color w:val="000000"/>
              </w:rPr>
            </w:pPr>
            <w:r w:rsidRPr="008428CD">
              <w:rPr>
                <w:rFonts w:eastAsia="Times New Roman"/>
                <w:color w:val="000000"/>
              </w:rPr>
              <w:t xml:space="preserve">Table </w:t>
            </w:r>
            <w:r>
              <w:rPr>
                <w:rFonts w:eastAsia="Times New Roman"/>
                <w:color w:val="000000"/>
              </w:rPr>
              <w:t>3.</w:t>
            </w:r>
            <w:r w:rsidR="008A1D81">
              <w:rPr>
                <w:rFonts w:eastAsia="Times New Roman"/>
                <w:color w:val="000000"/>
              </w:rPr>
              <w:t>5</w:t>
            </w:r>
            <w:r>
              <w:rPr>
                <w:rFonts w:eastAsia="Times New Roman"/>
                <w:color w:val="000000"/>
              </w:rPr>
              <w:t>.1.</w:t>
            </w:r>
          </w:p>
        </w:tc>
        <w:tc>
          <w:tcPr>
            <w:tcW w:w="2758" w:type="pct"/>
            <w:noWrap/>
            <w:hideMark/>
          </w:tcPr>
          <w:p w:rsidR="004E098B" w:rsidRPr="008428CD" w:rsidRDefault="004E098B" w:rsidP="00DC2368">
            <w:pPr>
              <w:rPr>
                <w:rFonts w:eastAsia="Times New Roman"/>
                <w:color w:val="000000"/>
              </w:rPr>
            </w:pPr>
            <w:r>
              <w:rPr>
                <w:rFonts w:eastAsia="Times New Roman"/>
                <w:color w:val="000000"/>
              </w:rPr>
              <w:t>Environment Risk Rating - 2012</w:t>
            </w:r>
          </w:p>
        </w:tc>
        <w:tc>
          <w:tcPr>
            <w:tcW w:w="671" w:type="pct"/>
            <w:noWrap/>
            <w:hideMark/>
          </w:tcPr>
          <w:p w:rsidR="004E098B" w:rsidRPr="008428CD" w:rsidRDefault="004E098B" w:rsidP="00DC2368">
            <w:pPr>
              <w:jc w:val="center"/>
              <w:rPr>
                <w:rFonts w:eastAsia="Times New Roman"/>
                <w:color w:val="000000"/>
              </w:rPr>
            </w:pPr>
            <w:r>
              <w:rPr>
                <w:rFonts w:eastAsia="Times New Roman"/>
                <w:color w:val="000000"/>
              </w:rPr>
              <w:t>21</w:t>
            </w:r>
          </w:p>
        </w:tc>
      </w:tr>
      <w:tr w:rsidR="004E098B" w:rsidRPr="008428CD" w:rsidTr="00DA3DAE">
        <w:trPr>
          <w:cnfStyle w:val="000000100000" w:firstRow="0" w:lastRow="0" w:firstColumn="0" w:lastColumn="0" w:oddVBand="0" w:evenVBand="0" w:oddHBand="1" w:evenHBand="0" w:firstRowFirstColumn="0" w:firstRowLastColumn="0" w:lastRowFirstColumn="0" w:lastRowLastColumn="0"/>
          <w:trHeight w:val="432"/>
        </w:trPr>
        <w:tc>
          <w:tcPr>
            <w:tcW w:w="785" w:type="pct"/>
            <w:vMerge/>
          </w:tcPr>
          <w:p w:rsidR="004E098B" w:rsidRPr="008428CD" w:rsidRDefault="004E098B" w:rsidP="00DC2368">
            <w:pPr>
              <w:rPr>
                <w:rFonts w:eastAsia="Times New Roman"/>
                <w:color w:val="000000"/>
              </w:rPr>
            </w:pPr>
          </w:p>
        </w:tc>
        <w:tc>
          <w:tcPr>
            <w:tcW w:w="786" w:type="pct"/>
          </w:tcPr>
          <w:p w:rsidR="004E098B" w:rsidRPr="008428CD" w:rsidRDefault="004E098B" w:rsidP="008A1D81">
            <w:pPr>
              <w:rPr>
                <w:rFonts w:eastAsia="Times New Roman"/>
                <w:color w:val="000000"/>
              </w:rPr>
            </w:pPr>
            <w:r w:rsidRPr="008428CD">
              <w:rPr>
                <w:rFonts w:eastAsia="Times New Roman"/>
                <w:color w:val="000000"/>
              </w:rPr>
              <w:t xml:space="preserve">Table </w:t>
            </w:r>
            <w:r>
              <w:rPr>
                <w:rFonts w:eastAsia="Times New Roman"/>
                <w:color w:val="000000"/>
              </w:rPr>
              <w:t>3.</w:t>
            </w:r>
            <w:r w:rsidR="008A1D81">
              <w:rPr>
                <w:rFonts w:eastAsia="Times New Roman"/>
                <w:color w:val="000000"/>
              </w:rPr>
              <w:t>5</w:t>
            </w:r>
            <w:r>
              <w:rPr>
                <w:rFonts w:eastAsia="Times New Roman"/>
                <w:color w:val="000000"/>
              </w:rPr>
              <w:t>.2.</w:t>
            </w:r>
          </w:p>
        </w:tc>
        <w:tc>
          <w:tcPr>
            <w:tcW w:w="2758" w:type="pct"/>
            <w:noWrap/>
            <w:hideMark/>
          </w:tcPr>
          <w:p w:rsidR="004E098B" w:rsidRPr="008428CD" w:rsidRDefault="004E098B" w:rsidP="00DC2368">
            <w:pPr>
              <w:rPr>
                <w:rFonts w:eastAsia="Times New Roman"/>
                <w:color w:val="000000"/>
              </w:rPr>
            </w:pPr>
            <w:r>
              <w:rPr>
                <w:rFonts w:eastAsia="Times New Roman"/>
                <w:color w:val="000000"/>
              </w:rPr>
              <w:t>Environment Risk Rating - 2013</w:t>
            </w:r>
          </w:p>
        </w:tc>
        <w:tc>
          <w:tcPr>
            <w:tcW w:w="671" w:type="pct"/>
            <w:noWrap/>
            <w:hideMark/>
          </w:tcPr>
          <w:p w:rsidR="004E098B" w:rsidRPr="008428CD" w:rsidRDefault="004E098B" w:rsidP="00DC2368">
            <w:pPr>
              <w:jc w:val="center"/>
              <w:rPr>
                <w:rFonts w:eastAsia="Times New Roman"/>
                <w:color w:val="000000"/>
              </w:rPr>
            </w:pPr>
            <w:r>
              <w:rPr>
                <w:rFonts w:eastAsia="Times New Roman"/>
                <w:color w:val="000000"/>
              </w:rPr>
              <w:t>22</w:t>
            </w:r>
          </w:p>
        </w:tc>
      </w:tr>
      <w:tr w:rsidR="004E098B" w:rsidRPr="008428CD" w:rsidTr="00DA3DAE">
        <w:trPr>
          <w:trHeight w:val="432"/>
        </w:trPr>
        <w:tc>
          <w:tcPr>
            <w:tcW w:w="785" w:type="pct"/>
            <w:vMerge/>
          </w:tcPr>
          <w:p w:rsidR="004E098B" w:rsidRPr="008428CD" w:rsidRDefault="004E098B" w:rsidP="00DC2368">
            <w:pPr>
              <w:rPr>
                <w:rFonts w:eastAsia="Times New Roman"/>
                <w:color w:val="000000"/>
              </w:rPr>
            </w:pPr>
          </w:p>
        </w:tc>
        <w:tc>
          <w:tcPr>
            <w:tcW w:w="786" w:type="pct"/>
          </w:tcPr>
          <w:p w:rsidR="004E098B" w:rsidRPr="008428CD" w:rsidRDefault="004E098B" w:rsidP="008A1D81">
            <w:pPr>
              <w:rPr>
                <w:rFonts w:eastAsia="Times New Roman"/>
                <w:color w:val="000000"/>
              </w:rPr>
            </w:pPr>
            <w:r w:rsidRPr="008428CD">
              <w:rPr>
                <w:rFonts w:eastAsia="Times New Roman"/>
                <w:color w:val="000000"/>
              </w:rPr>
              <w:t xml:space="preserve">Table </w:t>
            </w:r>
            <w:r>
              <w:rPr>
                <w:rFonts w:eastAsia="Times New Roman"/>
                <w:color w:val="000000"/>
              </w:rPr>
              <w:t>3.</w:t>
            </w:r>
            <w:r w:rsidR="008A1D81">
              <w:rPr>
                <w:rFonts w:eastAsia="Times New Roman"/>
                <w:color w:val="000000"/>
              </w:rPr>
              <w:t>5</w:t>
            </w:r>
            <w:r>
              <w:rPr>
                <w:rFonts w:eastAsia="Times New Roman"/>
                <w:color w:val="000000"/>
              </w:rPr>
              <w:t>.3.</w:t>
            </w:r>
          </w:p>
        </w:tc>
        <w:tc>
          <w:tcPr>
            <w:tcW w:w="2758" w:type="pct"/>
            <w:noWrap/>
            <w:hideMark/>
          </w:tcPr>
          <w:p w:rsidR="004E098B" w:rsidRPr="008428CD" w:rsidRDefault="004E098B" w:rsidP="00DC2368">
            <w:pPr>
              <w:rPr>
                <w:rFonts w:eastAsia="Times New Roman"/>
                <w:color w:val="000000"/>
              </w:rPr>
            </w:pPr>
            <w:r>
              <w:rPr>
                <w:rFonts w:eastAsia="Times New Roman"/>
                <w:color w:val="000000"/>
              </w:rPr>
              <w:t>Environment Risk Rating - 2014</w:t>
            </w:r>
          </w:p>
        </w:tc>
        <w:tc>
          <w:tcPr>
            <w:tcW w:w="671" w:type="pct"/>
            <w:noWrap/>
            <w:hideMark/>
          </w:tcPr>
          <w:p w:rsidR="004E098B" w:rsidRPr="008428CD" w:rsidRDefault="004E098B" w:rsidP="00DC2368">
            <w:pPr>
              <w:jc w:val="center"/>
              <w:rPr>
                <w:rFonts w:eastAsia="Times New Roman"/>
                <w:color w:val="000000"/>
              </w:rPr>
            </w:pPr>
            <w:r>
              <w:rPr>
                <w:rFonts w:eastAsia="Times New Roman"/>
                <w:color w:val="000000"/>
              </w:rPr>
              <w:t>23</w:t>
            </w:r>
          </w:p>
        </w:tc>
      </w:tr>
      <w:tr w:rsidR="004E098B" w:rsidRPr="008428CD" w:rsidTr="00DA3DAE">
        <w:trPr>
          <w:cnfStyle w:val="000000100000" w:firstRow="0" w:lastRow="0" w:firstColumn="0" w:lastColumn="0" w:oddVBand="0" w:evenVBand="0" w:oddHBand="1" w:evenHBand="0" w:firstRowFirstColumn="0" w:firstRowLastColumn="0" w:lastRowFirstColumn="0" w:lastRowLastColumn="0"/>
          <w:trHeight w:val="432"/>
        </w:trPr>
        <w:tc>
          <w:tcPr>
            <w:tcW w:w="785" w:type="pct"/>
            <w:vMerge/>
          </w:tcPr>
          <w:p w:rsidR="004E098B" w:rsidRPr="008428CD" w:rsidRDefault="004E098B" w:rsidP="00DC2368">
            <w:pPr>
              <w:rPr>
                <w:rFonts w:eastAsia="Times New Roman"/>
                <w:color w:val="000000"/>
              </w:rPr>
            </w:pPr>
          </w:p>
        </w:tc>
        <w:tc>
          <w:tcPr>
            <w:tcW w:w="786" w:type="pct"/>
          </w:tcPr>
          <w:p w:rsidR="004E098B" w:rsidRPr="008428CD" w:rsidRDefault="004E098B" w:rsidP="008A1D81">
            <w:pPr>
              <w:rPr>
                <w:rFonts w:eastAsia="Times New Roman"/>
                <w:color w:val="000000"/>
              </w:rPr>
            </w:pPr>
            <w:r w:rsidRPr="008428CD">
              <w:rPr>
                <w:rFonts w:eastAsia="Times New Roman"/>
                <w:color w:val="000000"/>
              </w:rPr>
              <w:t xml:space="preserve">Table </w:t>
            </w:r>
            <w:r>
              <w:rPr>
                <w:rFonts w:eastAsia="Times New Roman"/>
                <w:color w:val="000000"/>
              </w:rPr>
              <w:t>3.</w:t>
            </w:r>
            <w:r w:rsidR="008A1D81">
              <w:rPr>
                <w:rFonts w:eastAsia="Times New Roman"/>
                <w:color w:val="000000"/>
              </w:rPr>
              <w:t>5</w:t>
            </w:r>
            <w:r>
              <w:rPr>
                <w:rFonts w:eastAsia="Times New Roman"/>
                <w:color w:val="000000"/>
              </w:rPr>
              <w:t>.4.</w:t>
            </w:r>
          </w:p>
        </w:tc>
        <w:tc>
          <w:tcPr>
            <w:tcW w:w="2758" w:type="pct"/>
            <w:noWrap/>
            <w:hideMark/>
          </w:tcPr>
          <w:p w:rsidR="004E098B" w:rsidRPr="008428CD" w:rsidRDefault="004E098B" w:rsidP="00DC2368">
            <w:pPr>
              <w:rPr>
                <w:rFonts w:eastAsia="Times New Roman"/>
                <w:color w:val="000000"/>
              </w:rPr>
            </w:pPr>
            <w:r>
              <w:rPr>
                <w:rFonts w:eastAsia="Times New Roman"/>
                <w:color w:val="000000"/>
              </w:rPr>
              <w:t>Environment Risk Rating - 2015</w:t>
            </w:r>
          </w:p>
        </w:tc>
        <w:tc>
          <w:tcPr>
            <w:tcW w:w="671" w:type="pct"/>
            <w:noWrap/>
            <w:hideMark/>
          </w:tcPr>
          <w:p w:rsidR="004E098B" w:rsidRPr="008428CD" w:rsidRDefault="004E098B" w:rsidP="00DC2368">
            <w:pPr>
              <w:jc w:val="center"/>
              <w:rPr>
                <w:rFonts w:eastAsia="Times New Roman"/>
                <w:color w:val="000000"/>
              </w:rPr>
            </w:pPr>
            <w:r>
              <w:rPr>
                <w:rFonts w:eastAsia="Times New Roman"/>
                <w:color w:val="000000"/>
              </w:rPr>
              <w:t>24</w:t>
            </w:r>
          </w:p>
        </w:tc>
      </w:tr>
      <w:tr w:rsidR="004E098B" w:rsidRPr="008428CD" w:rsidTr="00DA3DAE">
        <w:trPr>
          <w:trHeight w:val="432"/>
        </w:trPr>
        <w:tc>
          <w:tcPr>
            <w:tcW w:w="785" w:type="pct"/>
            <w:vMerge/>
          </w:tcPr>
          <w:p w:rsidR="004E098B" w:rsidRPr="008428CD" w:rsidRDefault="004E098B" w:rsidP="00DC2368">
            <w:pPr>
              <w:rPr>
                <w:rFonts w:eastAsia="Times New Roman"/>
                <w:color w:val="000000"/>
              </w:rPr>
            </w:pPr>
          </w:p>
        </w:tc>
        <w:tc>
          <w:tcPr>
            <w:tcW w:w="786" w:type="pct"/>
          </w:tcPr>
          <w:p w:rsidR="004E098B" w:rsidRPr="008428CD" w:rsidRDefault="004E098B" w:rsidP="00DC2368">
            <w:pPr>
              <w:rPr>
                <w:rFonts w:eastAsia="Times New Roman"/>
                <w:color w:val="000000"/>
              </w:rPr>
            </w:pPr>
            <w:r w:rsidRPr="008428CD">
              <w:rPr>
                <w:rFonts w:eastAsia="Times New Roman"/>
                <w:color w:val="000000"/>
              </w:rPr>
              <w:t xml:space="preserve">Table </w:t>
            </w:r>
            <w:r>
              <w:rPr>
                <w:rFonts w:eastAsia="Times New Roman"/>
                <w:color w:val="000000"/>
              </w:rPr>
              <w:t>3.</w:t>
            </w:r>
            <w:r w:rsidR="00DC2368">
              <w:rPr>
                <w:rFonts w:eastAsia="Times New Roman"/>
                <w:color w:val="000000"/>
              </w:rPr>
              <w:t>6</w:t>
            </w:r>
          </w:p>
        </w:tc>
        <w:tc>
          <w:tcPr>
            <w:tcW w:w="2758" w:type="pct"/>
            <w:noWrap/>
            <w:hideMark/>
          </w:tcPr>
          <w:p w:rsidR="004E098B" w:rsidRPr="008428CD" w:rsidRDefault="004E098B" w:rsidP="00DC2368">
            <w:pPr>
              <w:rPr>
                <w:rFonts w:eastAsia="Times New Roman"/>
                <w:color w:val="000000"/>
              </w:rPr>
            </w:pPr>
            <w:r>
              <w:rPr>
                <w:rFonts w:eastAsia="Times New Roman"/>
                <w:color w:val="000000"/>
              </w:rPr>
              <w:t xml:space="preserve">Category wise Disbursement </w:t>
            </w:r>
          </w:p>
        </w:tc>
        <w:tc>
          <w:tcPr>
            <w:tcW w:w="671" w:type="pct"/>
            <w:noWrap/>
            <w:hideMark/>
          </w:tcPr>
          <w:p w:rsidR="004E098B" w:rsidRPr="008428CD" w:rsidRDefault="004E098B" w:rsidP="00DC2368">
            <w:pPr>
              <w:jc w:val="center"/>
              <w:rPr>
                <w:rFonts w:eastAsia="Times New Roman"/>
                <w:color w:val="000000"/>
              </w:rPr>
            </w:pPr>
            <w:r>
              <w:rPr>
                <w:rFonts w:eastAsia="Times New Roman"/>
                <w:color w:val="000000"/>
              </w:rPr>
              <w:t>25</w:t>
            </w:r>
          </w:p>
        </w:tc>
      </w:tr>
      <w:tr w:rsidR="004E098B" w:rsidRPr="008428CD" w:rsidTr="00DA3DAE">
        <w:trPr>
          <w:cnfStyle w:val="000000100000" w:firstRow="0" w:lastRow="0" w:firstColumn="0" w:lastColumn="0" w:oddVBand="0" w:evenVBand="0" w:oddHBand="1" w:evenHBand="0" w:firstRowFirstColumn="0" w:firstRowLastColumn="0" w:lastRowFirstColumn="0" w:lastRowLastColumn="0"/>
          <w:trHeight w:val="432"/>
        </w:trPr>
        <w:tc>
          <w:tcPr>
            <w:tcW w:w="785" w:type="pct"/>
            <w:vMerge w:val="restart"/>
          </w:tcPr>
          <w:p w:rsidR="00DA3DAE" w:rsidRDefault="00DA3DAE" w:rsidP="004E098B">
            <w:pPr>
              <w:jc w:val="center"/>
              <w:rPr>
                <w:rFonts w:eastAsia="Times New Roman"/>
                <w:b/>
                <w:color w:val="000000"/>
              </w:rPr>
            </w:pPr>
          </w:p>
          <w:p w:rsidR="00DA3DAE" w:rsidRDefault="00DA3DAE" w:rsidP="004E098B">
            <w:pPr>
              <w:jc w:val="center"/>
              <w:rPr>
                <w:rFonts w:eastAsia="Times New Roman"/>
                <w:b/>
                <w:color w:val="000000"/>
              </w:rPr>
            </w:pPr>
          </w:p>
          <w:p w:rsidR="00DA3DAE" w:rsidRDefault="00DA3DAE" w:rsidP="004E098B">
            <w:pPr>
              <w:jc w:val="center"/>
              <w:rPr>
                <w:rFonts w:eastAsia="Times New Roman"/>
                <w:b/>
                <w:color w:val="000000"/>
              </w:rPr>
            </w:pPr>
          </w:p>
          <w:p w:rsidR="00DA3DAE" w:rsidRDefault="00DA3DAE" w:rsidP="004E098B">
            <w:pPr>
              <w:jc w:val="center"/>
              <w:rPr>
                <w:rFonts w:eastAsia="Times New Roman"/>
                <w:b/>
                <w:color w:val="000000"/>
              </w:rPr>
            </w:pPr>
          </w:p>
          <w:p w:rsidR="004E098B" w:rsidRPr="004E098B" w:rsidRDefault="004E098B" w:rsidP="004E098B">
            <w:pPr>
              <w:jc w:val="center"/>
              <w:rPr>
                <w:rFonts w:eastAsia="Times New Roman"/>
                <w:b/>
                <w:color w:val="000000"/>
              </w:rPr>
            </w:pPr>
            <w:r w:rsidRPr="004E098B">
              <w:rPr>
                <w:rFonts w:eastAsia="Times New Roman"/>
                <w:b/>
                <w:color w:val="000000"/>
              </w:rPr>
              <w:t>Chapter 4</w:t>
            </w:r>
          </w:p>
        </w:tc>
        <w:tc>
          <w:tcPr>
            <w:tcW w:w="786" w:type="pct"/>
          </w:tcPr>
          <w:p w:rsidR="004E098B" w:rsidRPr="008428CD" w:rsidRDefault="004E098B" w:rsidP="00DC2368">
            <w:pPr>
              <w:rPr>
                <w:rFonts w:eastAsia="Times New Roman"/>
                <w:color w:val="000000"/>
              </w:rPr>
            </w:pPr>
          </w:p>
        </w:tc>
        <w:tc>
          <w:tcPr>
            <w:tcW w:w="2758" w:type="pct"/>
            <w:noWrap/>
            <w:hideMark/>
          </w:tcPr>
          <w:p w:rsidR="004E098B" w:rsidRPr="008428CD" w:rsidRDefault="004E098B" w:rsidP="00DC2368">
            <w:pPr>
              <w:rPr>
                <w:rFonts w:eastAsia="Times New Roman"/>
                <w:color w:val="000000"/>
              </w:rPr>
            </w:pPr>
          </w:p>
        </w:tc>
        <w:tc>
          <w:tcPr>
            <w:tcW w:w="671" w:type="pct"/>
            <w:noWrap/>
            <w:hideMark/>
          </w:tcPr>
          <w:p w:rsidR="004E098B" w:rsidRPr="008428CD" w:rsidRDefault="004E098B" w:rsidP="00DC2368">
            <w:pPr>
              <w:jc w:val="center"/>
              <w:rPr>
                <w:rFonts w:eastAsia="Times New Roman"/>
                <w:color w:val="000000"/>
              </w:rPr>
            </w:pPr>
          </w:p>
        </w:tc>
      </w:tr>
      <w:tr w:rsidR="004E098B" w:rsidRPr="008428CD" w:rsidTr="00DA3DAE">
        <w:trPr>
          <w:trHeight w:val="432"/>
        </w:trPr>
        <w:tc>
          <w:tcPr>
            <w:tcW w:w="785" w:type="pct"/>
            <w:vMerge/>
          </w:tcPr>
          <w:p w:rsidR="004E098B" w:rsidRPr="008428CD" w:rsidRDefault="004E098B" w:rsidP="00DC2368">
            <w:pPr>
              <w:rPr>
                <w:rFonts w:eastAsia="Times New Roman"/>
                <w:color w:val="000000"/>
              </w:rPr>
            </w:pPr>
          </w:p>
        </w:tc>
        <w:tc>
          <w:tcPr>
            <w:tcW w:w="786" w:type="pct"/>
          </w:tcPr>
          <w:p w:rsidR="004E098B" w:rsidRPr="008428CD" w:rsidRDefault="004E098B" w:rsidP="00DC2368">
            <w:pPr>
              <w:rPr>
                <w:rFonts w:eastAsia="Times New Roman"/>
                <w:color w:val="000000"/>
              </w:rPr>
            </w:pPr>
            <w:r>
              <w:rPr>
                <w:rFonts w:eastAsia="Times New Roman"/>
                <w:color w:val="000000"/>
              </w:rPr>
              <w:t>Table 4.2</w:t>
            </w:r>
          </w:p>
        </w:tc>
        <w:tc>
          <w:tcPr>
            <w:tcW w:w="2758" w:type="pct"/>
            <w:noWrap/>
            <w:hideMark/>
          </w:tcPr>
          <w:p w:rsidR="004E098B" w:rsidRDefault="004E098B" w:rsidP="00DC2368">
            <w:pPr>
              <w:rPr>
                <w:rFonts w:eastAsia="Times New Roman"/>
                <w:color w:val="000000"/>
              </w:rPr>
            </w:pPr>
            <w:r>
              <w:rPr>
                <w:rFonts w:eastAsia="Times New Roman"/>
                <w:color w:val="000000"/>
              </w:rPr>
              <w:t>Annual Budget Allocation and Budget utilization for</w:t>
            </w:r>
          </w:p>
          <w:p w:rsidR="004E098B" w:rsidRPr="008428CD" w:rsidRDefault="004E098B" w:rsidP="00DC2368">
            <w:pPr>
              <w:rPr>
                <w:rFonts w:eastAsia="Times New Roman"/>
                <w:color w:val="000000"/>
              </w:rPr>
            </w:pPr>
            <w:r>
              <w:rPr>
                <w:rFonts w:eastAsia="Times New Roman"/>
                <w:color w:val="000000"/>
              </w:rPr>
              <w:t xml:space="preserve">2012  </w:t>
            </w:r>
          </w:p>
        </w:tc>
        <w:tc>
          <w:tcPr>
            <w:tcW w:w="671" w:type="pct"/>
            <w:noWrap/>
            <w:hideMark/>
          </w:tcPr>
          <w:p w:rsidR="004E098B" w:rsidRPr="008428CD" w:rsidRDefault="004E098B" w:rsidP="00DC2368">
            <w:pPr>
              <w:jc w:val="center"/>
              <w:rPr>
                <w:rFonts w:eastAsia="Times New Roman"/>
                <w:color w:val="000000"/>
              </w:rPr>
            </w:pPr>
            <w:r>
              <w:rPr>
                <w:rFonts w:eastAsia="Times New Roman"/>
                <w:color w:val="000000"/>
              </w:rPr>
              <w:t>28</w:t>
            </w:r>
          </w:p>
        </w:tc>
      </w:tr>
      <w:tr w:rsidR="004E098B" w:rsidRPr="008428CD" w:rsidTr="00DA3DAE">
        <w:trPr>
          <w:cnfStyle w:val="000000100000" w:firstRow="0" w:lastRow="0" w:firstColumn="0" w:lastColumn="0" w:oddVBand="0" w:evenVBand="0" w:oddHBand="1" w:evenHBand="0" w:firstRowFirstColumn="0" w:firstRowLastColumn="0" w:lastRowFirstColumn="0" w:lastRowLastColumn="0"/>
          <w:trHeight w:val="432"/>
        </w:trPr>
        <w:tc>
          <w:tcPr>
            <w:tcW w:w="785" w:type="pct"/>
            <w:vMerge/>
          </w:tcPr>
          <w:p w:rsidR="004E098B" w:rsidRPr="008428CD" w:rsidRDefault="004E098B" w:rsidP="00DC2368">
            <w:pPr>
              <w:rPr>
                <w:rFonts w:eastAsia="Times New Roman"/>
                <w:color w:val="000000"/>
              </w:rPr>
            </w:pPr>
          </w:p>
        </w:tc>
        <w:tc>
          <w:tcPr>
            <w:tcW w:w="786" w:type="pct"/>
          </w:tcPr>
          <w:p w:rsidR="004E098B" w:rsidRPr="008428CD" w:rsidRDefault="004E098B" w:rsidP="00DC2368">
            <w:pPr>
              <w:rPr>
                <w:rFonts w:eastAsia="Times New Roman"/>
                <w:color w:val="000000"/>
              </w:rPr>
            </w:pPr>
            <w:r>
              <w:rPr>
                <w:rFonts w:eastAsia="Times New Roman"/>
                <w:color w:val="000000"/>
              </w:rPr>
              <w:t>Table 4.3</w:t>
            </w:r>
          </w:p>
        </w:tc>
        <w:tc>
          <w:tcPr>
            <w:tcW w:w="2758" w:type="pct"/>
            <w:noWrap/>
            <w:hideMark/>
          </w:tcPr>
          <w:p w:rsidR="004E098B" w:rsidRDefault="004E098B" w:rsidP="004E098B">
            <w:pPr>
              <w:rPr>
                <w:rFonts w:eastAsia="Times New Roman"/>
                <w:color w:val="000000"/>
              </w:rPr>
            </w:pPr>
            <w:r>
              <w:rPr>
                <w:rFonts w:eastAsia="Times New Roman"/>
                <w:color w:val="000000"/>
              </w:rPr>
              <w:t>Annual Budget Allocation and Budget utilization for</w:t>
            </w:r>
          </w:p>
          <w:p w:rsidR="004E098B" w:rsidRPr="008428CD" w:rsidRDefault="004E098B" w:rsidP="004E098B">
            <w:pPr>
              <w:rPr>
                <w:rFonts w:eastAsia="Times New Roman"/>
                <w:color w:val="000000"/>
              </w:rPr>
            </w:pPr>
            <w:r>
              <w:rPr>
                <w:rFonts w:eastAsia="Times New Roman"/>
                <w:color w:val="000000"/>
              </w:rPr>
              <w:t>2013</w:t>
            </w:r>
          </w:p>
        </w:tc>
        <w:tc>
          <w:tcPr>
            <w:tcW w:w="671" w:type="pct"/>
            <w:noWrap/>
            <w:hideMark/>
          </w:tcPr>
          <w:p w:rsidR="004E098B" w:rsidRPr="008428CD" w:rsidRDefault="004E098B" w:rsidP="00DC2368">
            <w:pPr>
              <w:jc w:val="center"/>
              <w:rPr>
                <w:rFonts w:eastAsia="Times New Roman"/>
                <w:color w:val="000000"/>
              </w:rPr>
            </w:pPr>
            <w:r>
              <w:rPr>
                <w:rFonts w:eastAsia="Times New Roman"/>
                <w:color w:val="000000"/>
              </w:rPr>
              <w:t>28</w:t>
            </w:r>
          </w:p>
        </w:tc>
      </w:tr>
      <w:tr w:rsidR="004E098B" w:rsidRPr="008428CD" w:rsidTr="00DA3DAE">
        <w:trPr>
          <w:trHeight w:val="432"/>
        </w:trPr>
        <w:tc>
          <w:tcPr>
            <w:tcW w:w="785" w:type="pct"/>
            <w:vMerge/>
          </w:tcPr>
          <w:p w:rsidR="004E098B" w:rsidRPr="008428CD" w:rsidRDefault="004E098B" w:rsidP="00DC2368">
            <w:pPr>
              <w:rPr>
                <w:rFonts w:eastAsia="Times New Roman"/>
                <w:color w:val="000000"/>
              </w:rPr>
            </w:pPr>
          </w:p>
        </w:tc>
        <w:tc>
          <w:tcPr>
            <w:tcW w:w="786" w:type="pct"/>
          </w:tcPr>
          <w:p w:rsidR="004E098B" w:rsidRPr="008428CD" w:rsidRDefault="004E098B" w:rsidP="00DC2368">
            <w:pPr>
              <w:rPr>
                <w:rFonts w:eastAsia="Times New Roman"/>
                <w:color w:val="000000"/>
              </w:rPr>
            </w:pPr>
            <w:r>
              <w:rPr>
                <w:rFonts w:eastAsia="Times New Roman"/>
                <w:color w:val="000000"/>
              </w:rPr>
              <w:t>Table 4.4</w:t>
            </w:r>
          </w:p>
        </w:tc>
        <w:tc>
          <w:tcPr>
            <w:tcW w:w="2758" w:type="pct"/>
            <w:noWrap/>
            <w:hideMark/>
          </w:tcPr>
          <w:p w:rsidR="004E098B" w:rsidRDefault="004E098B" w:rsidP="004E098B">
            <w:pPr>
              <w:rPr>
                <w:rFonts w:eastAsia="Times New Roman"/>
                <w:color w:val="000000"/>
              </w:rPr>
            </w:pPr>
            <w:r>
              <w:rPr>
                <w:rFonts w:eastAsia="Times New Roman"/>
                <w:color w:val="000000"/>
              </w:rPr>
              <w:t>Annual Budget Allocation and Budget utilization for</w:t>
            </w:r>
          </w:p>
          <w:p w:rsidR="004E098B" w:rsidRPr="008428CD" w:rsidRDefault="004E098B" w:rsidP="004E098B">
            <w:pPr>
              <w:rPr>
                <w:rFonts w:eastAsia="Times New Roman"/>
                <w:color w:val="000000"/>
              </w:rPr>
            </w:pPr>
            <w:r>
              <w:rPr>
                <w:rFonts w:eastAsia="Times New Roman"/>
                <w:color w:val="000000"/>
              </w:rPr>
              <w:t>2014</w:t>
            </w:r>
          </w:p>
        </w:tc>
        <w:tc>
          <w:tcPr>
            <w:tcW w:w="671" w:type="pct"/>
            <w:noWrap/>
            <w:hideMark/>
          </w:tcPr>
          <w:p w:rsidR="004E098B" w:rsidRPr="008428CD" w:rsidRDefault="004E098B" w:rsidP="00DC2368">
            <w:pPr>
              <w:jc w:val="center"/>
              <w:rPr>
                <w:rFonts w:eastAsia="Times New Roman"/>
                <w:color w:val="000000"/>
              </w:rPr>
            </w:pPr>
            <w:r>
              <w:rPr>
                <w:rFonts w:eastAsia="Times New Roman"/>
                <w:color w:val="000000"/>
              </w:rPr>
              <w:t>29</w:t>
            </w:r>
          </w:p>
        </w:tc>
      </w:tr>
      <w:tr w:rsidR="004E098B" w:rsidRPr="008428CD" w:rsidTr="00DA3DAE">
        <w:trPr>
          <w:cnfStyle w:val="000000100000" w:firstRow="0" w:lastRow="0" w:firstColumn="0" w:lastColumn="0" w:oddVBand="0" w:evenVBand="0" w:oddHBand="1" w:evenHBand="0" w:firstRowFirstColumn="0" w:firstRowLastColumn="0" w:lastRowFirstColumn="0" w:lastRowLastColumn="0"/>
          <w:trHeight w:val="432"/>
        </w:trPr>
        <w:tc>
          <w:tcPr>
            <w:tcW w:w="785" w:type="pct"/>
            <w:vMerge/>
          </w:tcPr>
          <w:p w:rsidR="004E098B" w:rsidRPr="008428CD" w:rsidRDefault="004E098B" w:rsidP="00DC2368">
            <w:pPr>
              <w:rPr>
                <w:rFonts w:eastAsia="Times New Roman"/>
                <w:color w:val="000000"/>
              </w:rPr>
            </w:pPr>
          </w:p>
        </w:tc>
        <w:tc>
          <w:tcPr>
            <w:tcW w:w="786" w:type="pct"/>
          </w:tcPr>
          <w:p w:rsidR="004E098B" w:rsidRPr="008428CD" w:rsidRDefault="004E098B" w:rsidP="00DC2368">
            <w:pPr>
              <w:rPr>
                <w:rFonts w:eastAsia="Times New Roman"/>
                <w:color w:val="000000"/>
              </w:rPr>
            </w:pPr>
            <w:r>
              <w:rPr>
                <w:rFonts w:eastAsia="Times New Roman"/>
                <w:color w:val="000000"/>
              </w:rPr>
              <w:t>Table 4.5</w:t>
            </w:r>
          </w:p>
        </w:tc>
        <w:tc>
          <w:tcPr>
            <w:tcW w:w="2758" w:type="pct"/>
            <w:noWrap/>
            <w:hideMark/>
          </w:tcPr>
          <w:p w:rsidR="004E098B" w:rsidRDefault="004E098B" w:rsidP="004E098B">
            <w:pPr>
              <w:rPr>
                <w:rFonts w:eastAsia="Times New Roman"/>
                <w:color w:val="000000"/>
              </w:rPr>
            </w:pPr>
            <w:r>
              <w:rPr>
                <w:rFonts w:eastAsia="Times New Roman"/>
                <w:color w:val="000000"/>
              </w:rPr>
              <w:t>Annual Budget Allocation and Budget utilization for</w:t>
            </w:r>
          </w:p>
          <w:p w:rsidR="004E098B" w:rsidRPr="008428CD" w:rsidRDefault="004E098B" w:rsidP="004E098B">
            <w:pPr>
              <w:rPr>
                <w:rFonts w:eastAsia="Times New Roman"/>
                <w:color w:val="000000"/>
              </w:rPr>
            </w:pPr>
            <w:r>
              <w:rPr>
                <w:rFonts w:eastAsia="Times New Roman"/>
                <w:color w:val="000000"/>
              </w:rPr>
              <w:t xml:space="preserve">2015  </w:t>
            </w:r>
          </w:p>
        </w:tc>
        <w:tc>
          <w:tcPr>
            <w:tcW w:w="671" w:type="pct"/>
            <w:noWrap/>
            <w:hideMark/>
          </w:tcPr>
          <w:p w:rsidR="004E098B" w:rsidRPr="008428CD" w:rsidRDefault="004E098B" w:rsidP="00DC2368">
            <w:pPr>
              <w:jc w:val="center"/>
              <w:rPr>
                <w:rFonts w:eastAsia="Times New Roman"/>
                <w:color w:val="000000"/>
              </w:rPr>
            </w:pPr>
            <w:r>
              <w:rPr>
                <w:rFonts w:eastAsia="Times New Roman"/>
                <w:color w:val="000000"/>
              </w:rPr>
              <w:t>29</w:t>
            </w:r>
          </w:p>
        </w:tc>
      </w:tr>
    </w:tbl>
    <w:p w:rsidR="008D1594" w:rsidRDefault="008D1594" w:rsidP="004E098B">
      <w:pPr>
        <w:spacing w:before="240" w:after="0"/>
        <w:jc w:val="center"/>
        <w:rPr>
          <w:rFonts w:ascii="Times New Roman" w:hAnsi="Times New Roman" w:cs="Times New Roman"/>
          <w:b/>
          <w:color w:val="FF00FF"/>
          <w:sz w:val="32"/>
          <w:u w:val="single"/>
        </w:rPr>
      </w:pPr>
    </w:p>
    <w:p w:rsidR="008D1594" w:rsidRDefault="008D1594" w:rsidP="004E098B">
      <w:pPr>
        <w:spacing w:before="240" w:after="0"/>
        <w:jc w:val="center"/>
        <w:rPr>
          <w:rFonts w:ascii="Times New Roman" w:hAnsi="Times New Roman" w:cs="Times New Roman"/>
          <w:b/>
          <w:color w:val="FF00FF"/>
          <w:sz w:val="32"/>
          <w:u w:val="single"/>
        </w:rPr>
      </w:pPr>
    </w:p>
    <w:p w:rsidR="008D1594" w:rsidRDefault="008D1594" w:rsidP="004E098B">
      <w:pPr>
        <w:spacing w:before="240" w:after="0"/>
        <w:jc w:val="center"/>
        <w:rPr>
          <w:rFonts w:ascii="Times New Roman" w:hAnsi="Times New Roman" w:cs="Times New Roman"/>
          <w:b/>
          <w:color w:val="FF00FF"/>
          <w:sz w:val="32"/>
          <w:u w:val="single"/>
        </w:rPr>
      </w:pPr>
    </w:p>
    <w:p w:rsidR="008D1594" w:rsidRDefault="008D1594" w:rsidP="004E098B">
      <w:pPr>
        <w:spacing w:before="240" w:after="0"/>
        <w:jc w:val="center"/>
        <w:rPr>
          <w:rFonts w:ascii="Times New Roman" w:hAnsi="Times New Roman" w:cs="Times New Roman"/>
          <w:b/>
          <w:color w:val="FF00FF"/>
          <w:sz w:val="32"/>
          <w:u w:val="single"/>
        </w:rPr>
      </w:pPr>
    </w:p>
    <w:p w:rsidR="008D1594" w:rsidRDefault="008D1594" w:rsidP="004E098B">
      <w:pPr>
        <w:spacing w:before="240" w:after="0"/>
        <w:jc w:val="center"/>
        <w:rPr>
          <w:rFonts w:ascii="Times New Roman" w:hAnsi="Times New Roman" w:cs="Times New Roman"/>
          <w:b/>
          <w:color w:val="FF00FF"/>
          <w:sz w:val="32"/>
          <w:u w:val="single"/>
        </w:rPr>
      </w:pPr>
    </w:p>
    <w:p w:rsidR="008D1594" w:rsidRDefault="008D1594" w:rsidP="004E098B">
      <w:pPr>
        <w:spacing w:before="240" w:after="0"/>
        <w:jc w:val="center"/>
        <w:rPr>
          <w:rFonts w:ascii="Times New Roman" w:hAnsi="Times New Roman" w:cs="Times New Roman"/>
          <w:b/>
          <w:color w:val="FF00FF"/>
          <w:sz w:val="32"/>
          <w:u w:val="single"/>
        </w:rPr>
      </w:pPr>
    </w:p>
    <w:p w:rsidR="008D1594" w:rsidRDefault="008D1594" w:rsidP="004E098B">
      <w:pPr>
        <w:spacing w:before="240" w:after="0"/>
        <w:jc w:val="center"/>
        <w:rPr>
          <w:rFonts w:ascii="Times New Roman" w:hAnsi="Times New Roman" w:cs="Times New Roman"/>
          <w:b/>
          <w:color w:val="FF00FF"/>
          <w:sz w:val="32"/>
          <w:u w:val="single"/>
        </w:rPr>
      </w:pPr>
    </w:p>
    <w:p w:rsidR="008D1594" w:rsidRDefault="008D1594" w:rsidP="004E098B">
      <w:pPr>
        <w:spacing w:before="240" w:after="0"/>
        <w:jc w:val="center"/>
        <w:rPr>
          <w:rFonts w:ascii="Times New Roman" w:hAnsi="Times New Roman" w:cs="Times New Roman"/>
          <w:b/>
          <w:color w:val="FF00FF"/>
          <w:sz w:val="32"/>
          <w:u w:val="single"/>
        </w:rPr>
      </w:pPr>
    </w:p>
    <w:p w:rsidR="0053532A" w:rsidRDefault="0053532A" w:rsidP="004E098B">
      <w:pPr>
        <w:spacing w:before="240" w:after="0"/>
        <w:jc w:val="center"/>
        <w:rPr>
          <w:rFonts w:ascii="Times New Roman" w:hAnsi="Times New Roman" w:cs="Times New Roman"/>
          <w:b/>
          <w:color w:val="FF00FF"/>
          <w:sz w:val="32"/>
          <w:u w:val="single"/>
        </w:rPr>
      </w:pPr>
    </w:p>
    <w:p w:rsidR="0053532A" w:rsidRDefault="0053532A" w:rsidP="004E098B">
      <w:pPr>
        <w:spacing w:before="240" w:after="0"/>
        <w:jc w:val="center"/>
        <w:rPr>
          <w:rFonts w:ascii="Times New Roman" w:hAnsi="Times New Roman" w:cs="Times New Roman"/>
          <w:b/>
          <w:color w:val="FF00FF"/>
          <w:sz w:val="32"/>
          <w:u w:val="single"/>
        </w:rPr>
      </w:pPr>
    </w:p>
    <w:p w:rsidR="00493B7E" w:rsidRPr="00DA3DAE" w:rsidRDefault="00493B7E" w:rsidP="004E098B">
      <w:pPr>
        <w:spacing w:before="240" w:after="0"/>
        <w:jc w:val="center"/>
        <w:rPr>
          <w:rFonts w:ascii="Times New Roman" w:hAnsi="Times New Roman" w:cs="Times New Roman"/>
          <w:b/>
          <w:color w:val="FF00FF"/>
          <w:sz w:val="32"/>
          <w:u w:val="single"/>
        </w:rPr>
      </w:pPr>
      <w:r w:rsidRPr="00DA3DAE">
        <w:rPr>
          <w:rFonts w:ascii="Times New Roman" w:hAnsi="Times New Roman" w:cs="Times New Roman"/>
          <w:b/>
          <w:color w:val="FF00FF"/>
          <w:sz w:val="32"/>
          <w:u w:val="single"/>
        </w:rPr>
        <w:lastRenderedPageBreak/>
        <w:t xml:space="preserve">List of </w:t>
      </w:r>
      <w:r w:rsidR="004E098B" w:rsidRPr="00DA3DAE">
        <w:rPr>
          <w:rFonts w:ascii="Times New Roman" w:hAnsi="Times New Roman" w:cs="Times New Roman"/>
          <w:b/>
          <w:color w:val="FF00FF"/>
          <w:sz w:val="32"/>
          <w:u w:val="single"/>
        </w:rPr>
        <w:t xml:space="preserve">Figures and </w:t>
      </w:r>
      <w:r w:rsidRPr="00DA3DAE">
        <w:rPr>
          <w:rFonts w:ascii="Times New Roman" w:hAnsi="Times New Roman" w:cs="Times New Roman"/>
          <w:b/>
          <w:color w:val="FF00FF"/>
          <w:sz w:val="32"/>
          <w:u w:val="single"/>
        </w:rPr>
        <w:t>Graphs</w:t>
      </w:r>
    </w:p>
    <w:tbl>
      <w:tblPr>
        <w:tblStyle w:val="MediumGrid1-Accent1"/>
        <w:tblW w:w="5000" w:type="pct"/>
        <w:tblLayout w:type="fixed"/>
        <w:tblLook w:val="04A0" w:firstRow="1" w:lastRow="0" w:firstColumn="1" w:lastColumn="0" w:noHBand="0" w:noVBand="1"/>
      </w:tblPr>
      <w:tblGrid>
        <w:gridCol w:w="1580"/>
        <w:gridCol w:w="1660"/>
        <w:gridCol w:w="4622"/>
        <w:gridCol w:w="1381"/>
      </w:tblGrid>
      <w:tr w:rsidR="00493B7E" w:rsidRPr="005F771D" w:rsidTr="008D1594">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855" w:type="pct"/>
          </w:tcPr>
          <w:p w:rsidR="00493B7E" w:rsidRPr="008D1594" w:rsidRDefault="00493B7E" w:rsidP="00493B7E">
            <w:pPr>
              <w:rPr>
                <w:rFonts w:ascii="Times New Roman" w:eastAsia="Times New Roman" w:hAnsi="Times New Roman" w:cs="Times New Roman"/>
                <w:b w:val="0"/>
                <w:bCs w:val="0"/>
                <w:color w:val="0000FF"/>
                <w:sz w:val="28"/>
              </w:rPr>
            </w:pPr>
            <w:r w:rsidRPr="008D1594">
              <w:rPr>
                <w:rFonts w:ascii="Times New Roman" w:eastAsia="Times New Roman" w:hAnsi="Times New Roman" w:cs="Times New Roman"/>
                <w:color w:val="0000FF"/>
                <w:sz w:val="28"/>
              </w:rPr>
              <w:t>Chapter</w:t>
            </w:r>
          </w:p>
        </w:tc>
        <w:tc>
          <w:tcPr>
            <w:tcW w:w="898" w:type="pct"/>
          </w:tcPr>
          <w:p w:rsidR="00493B7E" w:rsidRPr="008D1594" w:rsidRDefault="002A48BD" w:rsidP="002A48B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FF"/>
                <w:sz w:val="28"/>
              </w:rPr>
            </w:pPr>
            <w:r w:rsidRPr="008D1594">
              <w:rPr>
                <w:rFonts w:ascii="Times New Roman" w:eastAsia="Times New Roman" w:hAnsi="Times New Roman" w:cs="Times New Roman"/>
                <w:color w:val="0000FF"/>
                <w:sz w:val="24"/>
              </w:rPr>
              <w:t>Figure/</w:t>
            </w:r>
            <w:r w:rsidR="00493B7E" w:rsidRPr="008D1594">
              <w:rPr>
                <w:rFonts w:ascii="Times New Roman" w:eastAsia="Times New Roman" w:hAnsi="Times New Roman" w:cs="Times New Roman"/>
                <w:color w:val="0000FF"/>
                <w:sz w:val="24"/>
              </w:rPr>
              <w:t xml:space="preserve">Graph </w:t>
            </w:r>
            <w:r w:rsidRPr="008D1594">
              <w:rPr>
                <w:rFonts w:ascii="Times New Roman" w:eastAsia="Times New Roman" w:hAnsi="Times New Roman" w:cs="Times New Roman"/>
                <w:color w:val="0000FF"/>
                <w:sz w:val="24"/>
              </w:rPr>
              <w:t>n</w:t>
            </w:r>
            <w:r w:rsidR="00493B7E" w:rsidRPr="008D1594">
              <w:rPr>
                <w:rFonts w:ascii="Times New Roman" w:eastAsia="Times New Roman" w:hAnsi="Times New Roman" w:cs="Times New Roman"/>
                <w:color w:val="0000FF"/>
                <w:sz w:val="24"/>
              </w:rPr>
              <w:t>o.</w:t>
            </w:r>
          </w:p>
        </w:tc>
        <w:tc>
          <w:tcPr>
            <w:tcW w:w="2500" w:type="pct"/>
            <w:noWrap/>
            <w:hideMark/>
          </w:tcPr>
          <w:p w:rsidR="00493B7E" w:rsidRPr="008D1594" w:rsidRDefault="002A48BD" w:rsidP="009416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FF"/>
                <w:sz w:val="28"/>
              </w:rPr>
            </w:pPr>
            <w:r w:rsidRPr="008D1594">
              <w:rPr>
                <w:rFonts w:ascii="Times New Roman" w:eastAsia="Times New Roman" w:hAnsi="Times New Roman" w:cs="Times New Roman"/>
                <w:color w:val="0000FF"/>
                <w:sz w:val="28"/>
              </w:rPr>
              <w:t>Figure/</w:t>
            </w:r>
            <w:r w:rsidR="00493B7E" w:rsidRPr="008D1594">
              <w:rPr>
                <w:rFonts w:ascii="Times New Roman" w:eastAsia="Times New Roman" w:hAnsi="Times New Roman" w:cs="Times New Roman"/>
                <w:color w:val="0000FF"/>
                <w:sz w:val="28"/>
              </w:rPr>
              <w:t>Graph Name</w:t>
            </w:r>
          </w:p>
        </w:tc>
        <w:tc>
          <w:tcPr>
            <w:tcW w:w="747" w:type="pct"/>
            <w:noWrap/>
            <w:hideMark/>
          </w:tcPr>
          <w:p w:rsidR="00493B7E" w:rsidRPr="008D1594" w:rsidRDefault="00493B7E" w:rsidP="00493B7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FF"/>
                <w:sz w:val="28"/>
              </w:rPr>
            </w:pPr>
            <w:r w:rsidRPr="008D1594">
              <w:rPr>
                <w:rFonts w:ascii="Times New Roman" w:eastAsia="Times New Roman" w:hAnsi="Times New Roman" w:cs="Times New Roman"/>
                <w:color w:val="0000FF"/>
                <w:sz w:val="28"/>
              </w:rPr>
              <w:t>Page No.</w:t>
            </w:r>
          </w:p>
        </w:tc>
      </w:tr>
      <w:tr w:rsidR="00493B7E" w:rsidRPr="005F771D" w:rsidTr="008D159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55" w:type="pct"/>
            <w:vMerge w:val="restart"/>
          </w:tcPr>
          <w:p w:rsidR="008D1594" w:rsidRPr="00B476D8" w:rsidRDefault="008D1594" w:rsidP="002A48BD">
            <w:pPr>
              <w:jc w:val="center"/>
              <w:rPr>
                <w:rFonts w:asciiTheme="majorHAnsi" w:eastAsia="Times New Roman" w:hAnsiTheme="majorHAnsi" w:cs="Times New Roman"/>
                <w:color w:val="000000"/>
              </w:rPr>
            </w:pPr>
          </w:p>
          <w:p w:rsidR="008D1594" w:rsidRPr="00B476D8" w:rsidRDefault="008D1594" w:rsidP="002A48BD">
            <w:pPr>
              <w:jc w:val="center"/>
              <w:rPr>
                <w:rFonts w:asciiTheme="majorHAnsi" w:eastAsia="Times New Roman" w:hAnsiTheme="majorHAnsi" w:cs="Times New Roman"/>
                <w:color w:val="000000"/>
              </w:rPr>
            </w:pPr>
          </w:p>
          <w:p w:rsidR="008D1594" w:rsidRPr="00B476D8" w:rsidRDefault="008D1594" w:rsidP="002A48BD">
            <w:pPr>
              <w:jc w:val="center"/>
              <w:rPr>
                <w:rFonts w:asciiTheme="majorHAnsi" w:eastAsia="Times New Roman" w:hAnsiTheme="majorHAnsi" w:cs="Times New Roman"/>
                <w:color w:val="000000"/>
              </w:rPr>
            </w:pPr>
          </w:p>
          <w:p w:rsidR="008D1594" w:rsidRPr="00B476D8" w:rsidRDefault="008D1594" w:rsidP="002A48BD">
            <w:pPr>
              <w:jc w:val="center"/>
              <w:rPr>
                <w:rFonts w:asciiTheme="majorHAnsi" w:eastAsia="Times New Roman" w:hAnsiTheme="majorHAnsi" w:cs="Times New Roman"/>
                <w:color w:val="000000"/>
              </w:rPr>
            </w:pPr>
          </w:p>
          <w:p w:rsidR="008D1594" w:rsidRPr="00B476D8" w:rsidRDefault="008D1594" w:rsidP="002A48BD">
            <w:pPr>
              <w:jc w:val="center"/>
              <w:rPr>
                <w:rFonts w:asciiTheme="majorHAnsi" w:eastAsia="Times New Roman" w:hAnsiTheme="majorHAnsi" w:cs="Times New Roman"/>
                <w:color w:val="000000"/>
              </w:rPr>
            </w:pPr>
          </w:p>
          <w:p w:rsidR="008D1594" w:rsidRPr="00B476D8" w:rsidRDefault="008D1594" w:rsidP="002A48BD">
            <w:pPr>
              <w:jc w:val="center"/>
              <w:rPr>
                <w:rFonts w:asciiTheme="majorHAnsi" w:eastAsia="Times New Roman" w:hAnsiTheme="majorHAnsi" w:cs="Times New Roman"/>
                <w:color w:val="000000"/>
              </w:rPr>
            </w:pPr>
          </w:p>
          <w:p w:rsidR="00493B7E" w:rsidRPr="00B476D8" w:rsidRDefault="00493B7E" w:rsidP="002A48BD">
            <w:pPr>
              <w:jc w:val="center"/>
              <w:rPr>
                <w:rFonts w:asciiTheme="majorHAnsi" w:eastAsia="Times New Roman" w:hAnsiTheme="majorHAnsi" w:cs="Times New Roman"/>
                <w:b w:val="0"/>
                <w:color w:val="000000"/>
              </w:rPr>
            </w:pPr>
            <w:r w:rsidRPr="00B476D8">
              <w:rPr>
                <w:rFonts w:asciiTheme="majorHAnsi" w:eastAsia="Times New Roman" w:hAnsiTheme="majorHAnsi" w:cs="Times New Roman"/>
                <w:color w:val="000000"/>
              </w:rPr>
              <w:t xml:space="preserve">Chapter </w:t>
            </w:r>
            <w:r w:rsidR="004E098B" w:rsidRPr="00B476D8">
              <w:rPr>
                <w:rFonts w:asciiTheme="majorHAnsi" w:eastAsia="Times New Roman" w:hAnsiTheme="majorHAnsi" w:cs="Times New Roman"/>
                <w:color w:val="000000"/>
              </w:rPr>
              <w:t>2</w:t>
            </w:r>
          </w:p>
        </w:tc>
        <w:tc>
          <w:tcPr>
            <w:tcW w:w="898" w:type="pct"/>
          </w:tcPr>
          <w:p w:rsidR="00493B7E" w:rsidRPr="00B476D8" w:rsidRDefault="004E098B" w:rsidP="00DC236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 xml:space="preserve">Figure </w:t>
            </w:r>
            <w:r w:rsidR="00DC2368" w:rsidRPr="00B476D8">
              <w:rPr>
                <w:rFonts w:asciiTheme="majorHAnsi" w:eastAsia="Times New Roman" w:hAnsiTheme="majorHAnsi" w:cs="Times New Roman"/>
                <w:color w:val="000000"/>
              </w:rPr>
              <w:t>3.1</w:t>
            </w:r>
          </w:p>
        </w:tc>
        <w:tc>
          <w:tcPr>
            <w:tcW w:w="2500" w:type="pct"/>
            <w:noWrap/>
            <w:hideMark/>
          </w:tcPr>
          <w:p w:rsidR="00493B7E" w:rsidRPr="00B476D8" w:rsidRDefault="00DC2368" w:rsidP="00493B7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Activities of Green Finance</w:t>
            </w:r>
          </w:p>
        </w:tc>
        <w:tc>
          <w:tcPr>
            <w:tcW w:w="747" w:type="pct"/>
            <w:noWrap/>
            <w:hideMark/>
          </w:tcPr>
          <w:p w:rsidR="00493B7E" w:rsidRPr="00B476D8" w:rsidRDefault="00DC2368" w:rsidP="00493B7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15</w:t>
            </w:r>
          </w:p>
        </w:tc>
      </w:tr>
      <w:tr w:rsidR="00493B7E" w:rsidRPr="005F771D" w:rsidTr="008D1594">
        <w:trPr>
          <w:trHeight w:val="432"/>
        </w:trPr>
        <w:tc>
          <w:tcPr>
            <w:cnfStyle w:val="001000000000" w:firstRow="0" w:lastRow="0" w:firstColumn="1" w:lastColumn="0" w:oddVBand="0" w:evenVBand="0" w:oddHBand="0" w:evenHBand="0" w:firstRowFirstColumn="0" w:firstRowLastColumn="0" w:lastRowFirstColumn="0" w:lastRowLastColumn="0"/>
            <w:tcW w:w="855" w:type="pct"/>
            <w:vMerge/>
          </w:tcPr>
          <w:p w:rsidR="00493B7E" w:rsidRPr="00B476D8" w:rsidRDefault="00493B7E" w:rsidP="00493B7E">
            <w:pPr>
              <w:rPr>
                <w:rFonts w:asciiTheme="majorHAnsi" w:eastAsia="Times New Roman" w:hAnsiTheme="majorHAnsi" w:cs="Times New Roman"/>
                <w:color w:val="000000"/>
              </w:rPr>
            </w:pPr>
          </w:p>
        </w:tc>
        <w:tc>
          <w:tcPr>
            <w:tcW w:w="898" w:type="pct"/>
          </w:tcPr>
          <w:p w:rsidR="00493B7E" w:rsidRPr="00B476D8" w:rsidRDefault="00DC2368" w:rsidP="00DC236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Graph3.3.1</w:t>
            </w:r>
          </w:p>
        </w:tc>
        <w:tc>
          <w:tcPr>
            <w:tcW w:w="2500" w:type="pct"/>
            <w:noWrap/>
            <w:hideMark/>
          </w:tcPr>
          <w:p w:rsidR="00493B7E" w:rsidRPr="00B476D8" w:rsidRDefault="00DC2368" w:rsidP="00DC236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 xml:space="preserve">Direct Green Finance </w:t>
            </w:r>
          </w:p>
        </w:tc>
        <w:tc>
          <w:tcPr>
            <w:tcW w:w="747" w:type="pct"/>
            <w:noWrap/>
            <w:hideMark/>
          </w:tcPr>
          <w:p w:rsidR="00493B7E" w:rsidRPr="00B476D8" w:rsidRDefault="00DC2368" w:rsidP="00493B7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18</w:t>
            </w:r>
          </w:p>
        </w:tc>
      </w:tr>
      <w:tr w:rsidR="00493B7E" w:rsidRPr="005F771D" w:rsidTr="008D159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55" w:type="pct"/>
            <w:vMerge/>
          </w:tcPr>
          <w:p w:rsidR="00493B7E" w:rsidRPr="00B476D8" w:rsidRDefault="00493B7E" w:rsidP="00493B7E">
            <w:pPr>
              <w:rPr>
                <w:rFonts w:asciiTheme="majorHAnsi" w:eastAsia="Times New Roman" w:hAnsiTheme="majorHAnsi" w:cs="Times New Roman"/>
                <w:color w:val="000000"/>
              </w:rPr>
            </w:pPr>
          </w:p>
        </w:tc>
        <w:tc>
          <w:tcPr>
            <w:tcW w:w="898" w:type="pct"/>
          </w:tcPr>
          <w:p w:rsidR="00493B7E" w:rsidRPr="00B476D8" w:rsidRDefault="00DC2368" w:rsidP="00DC236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Graph3.3.2</w:t>
            </w:r>
          </w:p>
        </w:tc>
        <w:tc>
          <w:tcPr>
            <w:tcW w:w="2500" w:type="pct"/>
            <w:noWrap/>
            <w:hideMark/>
          </w:tcPr>
          <w:p w:rsidR="00493B7E" w:rsidRPr="00B476D8" w:rsidRDefault="00DC2368" w:rsidP="00493B7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 xml:space="preserve">Indirect Green Finance </w:t>
            </w:r>
          </w:p>
        </w:tc>
        <w:tc>
          <w:tcPr>
            <w:tcW w:w="747" w:type="pct"/>
            <w:noWrap/>
            <w:hideMark/>
          </w:tcPr>
          <w:p w:rsidR="00493B7E" w:rsidRPr="00B476D8" w:rsidRDefault="00DC2368" w:rsidP="00493B7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18</w:t>
            </w:r>
          </w:p>
        </w:tc>
      </w:tr>
      <w:tr w:rsidR="00493B7E" w:rsidRPr="005F771D" w:rsidTr="008D1594">
        <w:trPr>
          <w:trHeight w:val="432"/>
        </w:trPr>
        <w:tc>
          <w:tcPr>
            <w:cnfStyle w:val="001000000000" w:firstRow="0" w:lastRow="0" w:firstColumn="1" w:lastColumn="0" w:oddVBand="0" w:evenVBand="0" w:oddHBand="0" w:evenHBand="0" w:firstRowFirstColumn="0" w:firstRowLastColumn="0" w:lastRowFirstColumn="0" w:lastRowLastColumn="0"/>
            <w:tcW w:w="855" w:type="pct"/>
            <w:vMerge/>
          </w:tcPr>
          <w:p w:rsidR="00493B7E" w:rsidRPr="00B476D8" w:rsidRDefault="00493B7E" w:rsidP="00493B7E">
            <w:pPr>
              <w:rPr>
                <w:rFonts w:asciiTheme="majorHAnsi" w:eastAsia="Times New Roman" w:hAnsiTheme="majorHAnsi" w:cs="Times New Roman"/>
                <w:color w:val="000000"/>
              </w:rPr>
            </w:pPr>
          </w:p>
        </w:tc>
        <w:tc>
          <w:tcPr>
            <w:tcW w:w="898" w:type="pct"/>
          </w:tcPr>
          <w:p w:rsidR="00493B7E" w:rsidRPr="00B476D8" w:rsidRDefault="00DC2368" w:rsidP="00DC236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Graph3.3.3</w:t>
            </w:r>
          </w:p>
        </w:tc>
        <w:tc>
          <w:tcPr>
            <w:tcW w:w="2500" w:type="pct"/>
            <w:noWrap/>
            <w:hideMark/>
          </w:tcPr>
          <w:p w:rsidR="00493B7E" w:rsidRPr="00B476D8" w:rsidRDefault="00DC2368" w:rsidP="00493B7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Total Direct and Indirect Green Finance</w:t>
            </w:r>
          </w:p>
        </w:tc>
        <w:tc>
          <w:tcPr>
            <w:tcW w:w="747" w:type="pct"/>
            <w:noWrap/>
            <w:hideMark/>
          </w:tcPr>
          <w:p w:rsidR="00493B7E" w:rsidRPr="00B476D8" w:rsidRDefault="002A48BD" w:rsidP="00DC236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1</w:t>
            </w:r>
            <w:r w:rsidR="00DC2368" w:rsidRPr="00B476D8">
              <w:rPr>
                <w:rFonts w:asciiTheme="majorHAnsi" w:eastAsia="Times New Roman" w:hAnsiTheme="majorHAnsi" w:cs="Times New Roman"/>
                <w:color w:val="000000"/>
              </w:rPr>
              <w:t>9</w:t>
            </w:r>
          </w:p>
        </w:tc>
      </w:tr>
      <w:tr w:rsidR="00493B7E" w:rsidRPr="005F771D" w:rsidTr="008D159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55" w:type="pct"/>
            <w:vMerge/>
          </w:tcPr>
          <w:p w:rsidR="00493B7E" w:rsidRPr="00B476D8" w:rsidRDefault="00493B7E" w:rsidP="00493B7E">
            <w:pPr>
              <w:rPr>
                <w:rFonts w:asciiTheme="majorHAnsi" w:eastAsia="Times New Roman" w:hAnsiTheme="majorHAnsi" w:cs="Times New Roman"/>
                <w:color w:val="000000"/>
              </w:rPr>
            </w:pPr>
          </w:p>
        </w:tc>
        <w:tc>
          <w:tcPr>
            <w:tcW w:w="898" w:type="pct"/>
          </w:tcPr>
          <w:p w:rsidR="00493B7E" w:rsidRPr="00B476D8" w:rsidRDefault="00DC2368" w:rsidP="00493B7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Graph 3.4</w:t>
            </w:r>
          </w:p>
        </w:tc>
        <w:tc>
          <w:tcPr>
            <w:tcW w:w="2500" w:type="pct"/>
            <w:noWrap/>
            <w:hideMark/>
          </w:tcPr>
          <w:p w:rsidR="00493B7E" w:rsidRPr="00B476D8" w:rsidRDefault="00DC2368" w:rsidP="002A48B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Green Finance Project/Events</w:t>
            </w:r>
          </w:p>
        </w:tc>
        <w:tc>
          <w:tcPr>
            <w:tcW w:w="747" w:type="pct"/>
            <w:noWrap/>
            <w:hideMark/>
          </w:tcPr>
          <w:p w:rsidR="00493B7E" w:rsidRPr="00B476D8" w:rsidRDefault="00DC2368" w:rsidP="00493B7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20</w:t>
            </w:r>
          </w:p>
        </w:tc>
      </w:tr>
      <w:tr w:rsidR="00493B7E" w:rsidRPr="005F771D" w:rsidTr="008D1594">
        <w:trPr>
          <w:trHeight w:val="432"/>
        </w:trPr>
        <w:tc>
          <w:tcPr>
            <w:cnfStyle w:val="001000000000" w:firstRow="0" w:lastRow="0" w:firstColumn="1" w:lastColumn="0" w:oddVBand="0" w:evenVBand="0" w:oddHBand="0" w:evenHBand="0" w:firstRowFirstColumn="0" w:firstRowLastColumn="0" w:lastRowFirstColumn="0" w:lastRowLastColumn="0"/>
            <w:tcW w:w="855" w:type="pct"/>
            <w:vMerge/>
          </w:tcPr>
          <w:p w:rsidR="00493B7E" w:rsidRPr="00B476D8" w:rsidRDefault="00493B7E" w:rsidP="00493B7E">
            <w:pPr>
              <w:rPr>
                <w:rFonts w:asciiTheme="majorHAnsi" w:eastAsia="Times New Roman" w:hAnsiTheme="majorHAnsi" w:cs="Times New Roman"/>
                <w:color w:val="000000"/>
              </w:rPr>
            </w:pPr>
          </w:p>
        </w:tc>
        <w:tc>
          <w:tcPr>
            <w:tcW w:w="898" w:type="pct"/>
          </w:tcPr>
          <w:p w:rsidR="00493B7E" w:rsidRPr="00B476D8" w:rsidRDefault="00DC2368" w:rsidP="00493B7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Graph 3.5.1</w:t>
            </w:r>
          </w:p>
        </w:tc>
        <w:tc>
          <w:tcPr>
            <w:tcW w:w="2500" w:type="pct"/>
            <w:noWrap/>
            <w:hideMark/>
          </w:tcPr>
          <w:p w:rsidR="00493B7E" w:rsidRPr="00B476D8" w:rsidRDefault="00DC2368" w:rsidP="002A48B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Comparison between 2011 &amp; 2012</w:t>
            </w:r>
          </w:p>
        </w:tc>
        <w:tc>
          <w:tcPr>
            <w:tcW w:w="747" w:type="pct"/>
            <w:noWrap/>
            <w:hideMark/>
          </w:tcPr>
          <w:p w:rsidR="00493B7E" w:rsidRPr="00B476D8" w:rsidRDefault="00DC2368" w:rsidP="00493B7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21</w:t>
            </w:r>
          </w:p>
        </w:tc>
      </w:tr>
      <w:tr w:rsidR="00493B7E" w:rsidRPr="005F771D" w:rsidTr="008D159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55" w:type="pct"/>
            <w:vMerge/>
          </w:tcPr>
          <w:p w:rsidR="00493B7E" w:rsidRPr="00B476D8" w:rsidRDefault="00493B7E" w:rsidP="00493B7E">
            <w:pPr>
              <w:rPr>
                <w:rFonts w:asciiTheme="majorHAnsi" w:eastAsia="Times New Roman" w:hAnsiTheme="majorHAnsi" w:cs="Times New Roman"/>
                <w:color w:val="000000"/>
              </w:rPr>
            </w:pPr>
          </w:p>
        </w:tc>
        <w:tc>
          <w:tcPr>
            <w:tcW w:w="898" w:type="pct"/>
          </w:tcPr>
          <w:p w:rsidR="00493B7E" w:rsidRPr="00B476D8" w:rsidRDefault="00DC2368" w:rsidP="00493B7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Graph 3.5.1</w:t>
            </w:r>
          </w:p>
        </w:tc>
        <w:tc>
          <w:tcPr>
            <w:tcW w:w="2500" w:type="pct"/>
            <w:noWrap/>
            <w:hideMark/>
          </w:tcPr>
          <w:p w:rsidR="00493B7E" w:rsidRPr="00B476D8" w:rsidRDefault="00DC2368" w:rsidP="002A48B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Amount disbursed to the rated projects</w:t>
            </w:r>
          </w:p>
        </w:tc>
        <w:tc>
          <w:tcPr>
            <w:tcW w:w="747" w:type="pct"/>
            <w:noWrap/>
            <w:hideMark/>
          </w:tcPr>
          <w:p w:rsidR="00493B7E" w:rsidRPr="00B476D8" w:rsidRDefault="00DC2368" w:rsidP="00493B7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21</w:t>
            </w:r>
          </w:p>
        </w:tc>
      </w:tr>
      <w:tr w:rsidR="002A48BD" w:rsidRPr="005F771D" w:rsidTr="008D1594">
        <w:trPr>
          <w:trHeight w:val="432"/>
        </w:trPr>
        <w:tc>
          <w:tcPr>
            <w:cnfStyle w:val="001000000000" w:firstRow="0" w:lastRow="0" w:firstColumn="1" w:lastColumn="0" w:oddVBand="0" w:evenVBand="0" w:oddHBand="0" w:evenHBand="0" w:firstRowFirstColumn="0" w:firstRowLastColumn="0" w:lastRowFirstColumn="0" w:lastRowLastColumn="0"/>
            <w:tcW w:w="855" w:type="pct"/>
            <w:vMerge/>
          </w:tcPr>
          <w:p w:rsidR="002A48BD" w:rsidRPr="00B476D8" w:rsidRDefault="002A48BD" w:rsidP="00493B7E">
            <w:pPr>
              <w:rPr>
                <w:rFonts w:asciiTheme="majorHAnsi" w:eastAsia="Times New Roman" w:hAnsiTheme="majorHAnsi" w:cs="Times New Roman"/>
                <w:color w:val="000000"/>
              </w:rPr>
            </w:pPr>
          </w:p>
        </w:tc>
        <w:tc>
          <w:tcPr>
            <w:tcW w:w="898" w:type="pct"/>
          </w:tcPr>
          <w:p w:rsidR="002A48BD" w:rsidRPr="00B476D8" w:rsidRDefault="00DC2368" w:rsidP="00493B7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Graph 3.5.2</w:t>
            </w:r>
          </w:p>
        </w:tc>
        <w:tc>
          <w:tcPr>
            <w:tcW w:w="2500" w:type="pct"/>
            <w:noWrap/>
            <w:hideMark/>
          </w:tcPr>
          <w:p w:rsidR="002A48BD" w:rsidRPr="00B476D8" w:rsidRDefault="00DC2368" w:rsidP="00DC236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Comparison between 2012 &amp; 2013</w:t>
            </w:r>
          </w:p>
        </w:tc>
        <w:tc>
          <w:tcPr>
            <w:tcW w:w="747" w:type="pct"/>
            <w:noWrap/>
            <w:hideMark/>
          </w:tcPr>
          <w:p w:rsidR="002A48BD" w:rsidRPr="00B476D8" w:rsidRDefault="00DC2368" w:rsidP="00493B7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22</w:t>
            </w:r>
          </w:p>
        </w:tc>
      </w:tr>
      <w:tr w:rsidR="00016E0A" w:rsidRPr="005F771D" w:rsidTr="008D159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55" w:type="pct"/>
            <w:vMerge w:val="restart"/>
          </w:tcPr>
          <w:p w:rsidR="00016E0A" w:rsidRPr="00B476D8" w:rsidRDefault="00016E0A" w:rsidP="008D1594">
            <w:pPr>
              <w:jc w:val="center"/>
              <w:rPr>
                <w:rFonts w:asciiTheme="majorHAnsi" w:eastAsia="Times New Roman" w:hAnsiTheme="majorHAnsi" w:cs="Times New Roman"/>
                <w:color w:val="000000"/>
              </w:rPr>
            </w:pPr>
          </w:p>
          <w:p w:rsidR="00016E0A" w:rsidRPr="00B476D8" w:rsidRDefault="00016E0A" w:rsidP="008D1594">
            <w:pPr>
              <w:jc w:val="center"/>
              <w:rPr>
                <w:rFonts w:asciiTheme="majorHAnsi" w:eastAsia="Times New Roman" w:hAnsiTheme="majorHAnsi" w:cs="Times New Roman"/>
                <w:color w:val="000000"/>
              </w:rPr>
            </w:pPr>
          </w:p>
          <w:p w:rsidR="00016E0A" w:rsidRPr="00B476D8" w:rsidRDefault="00016E0A" w:rsidP="008D1594">
            <w:pPr>
              <w:jc w:val="center"/>
              <w:rPr>
                <w:rFonts w:asciiTheme="majorHAnsi" w:eastAsia="Times New Roman" w:hAnsiTheme="majorHAnsi" w:cs="Times New Roman"/>
                <w:color w:val="000000"/>
              </w:rPr>
            </w:pPr>
          </w:p>
          <w:p w:rsidR="00016E0A" w:rsidRPr="00B476D8" w:rsidRDefault="00016E0A" w:rsidP="008D1594">
            <w:pPr>
              <w:jc w:val="center"/>
              <w:rPr>
                <w:rFonts w:asciiTheme="majorHAnsi" w:eastAsia="Times New Roman" w:hAnsiTheme="majorHAnsi" w:cs="Times New Roman"/>
                <w:color w:val="000000"/>
              </w:rPr>
            </w:pPr>
          </w:p>
          <w:p w:rsidR="00016E0A" w:rsidRPr="00B476D8" w:rsidRDefault="00016E0A" w:rsidP="008D1594">
            <w:pPr>
              <w:jc w:val="center"/>
              <w:rPr>
                <w:rFonts w:asciiTheme="majorHAnsi" w:eastAsia="Times New Roman" w:hAnsiTheme="majorHAnsi" w:cs="Times New Roman"/>
                <w:b w:val="0"/>
                <w:color w:val="000000"/>
              </w:rPr>
            </w:pPr>
            <w:r w:rsidRPr="00B476D8">
              <w:rPr>
                <w:rFonts w:asciiTheme="majorHAnsi" w:eastAsia="Times New Roman" w:hAnsiTheme="majorHAnsi" w:cs="Times New Roman"/>
                <w:color w:val="000000"/>
              </w:rPr>
              <w:t>Chapter 3</w:t>
            </w:r>
          </w:p>
          <w:p w:rsidR="00016E0A" w:rsidRPr="00B476D8" w:rsidRDefault="00016E0A" w:rsidP="00493B7E">
            <w:pPr>
              <w:rPr>
                <w:rFonts w:asciiTheme="majorHAnsi" w:eastAsia="Times New Roman" w:hAnsiTheme="majorHAnsi" w:cs="Times New Roman"/>
                <w:color w:val="000000"/>
              </w:rPr>
            </w:pPr>
          </w:p>
          <w:p w:rsidR="00016E0A" w:rsidRPr="00B476D8" w:rsidRDefault="00016E0A" w:rsidP="00493B7E">
            <w:pPr>
              <w:rPr>
                <w:rFonts w:asciiTheme="majorHAnsi" w:eastAsia="Times New Roman" w:hAnsiTheme="majorHAnsi" w:cs="Times New Roman"/>
                <w:color w:val="000000"/>
              </w:rPr>
            </w:pPr>
          </w:p>
        </w:tc>
        <w:tc>
          <w:tcPr>
            <w:tcW w:w="898" w:type="pct"/>
          </w:tcPr>
          <w:p w:rsidR="00016E0A" w:rsidRPr="00B476D8" w:rsidRDefault="00016E0A" w:rsidP="00493B7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p>
        </w:tc>
        <w:tc>
          <w:tcPr>
            <w:tcW w:w="2500" w:type="pct"/>
            <w:noWrap/>
            <w:hideMark/>
          </w:tcPr>
          <w:p w:rsidR="00016E0A" w:rsidRPr="00B476D8" w:rsidRDefault="00016E0A" w:rsidP="00DC236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p>
        </w:tc>
        <w:tc>
          <w:tcPr>
            <w:tcW w:w="747" w:type="pct"/>
            <w:noWrap/>
            <w:hideMark/>
          </w:tcPr>
          <w:p w:rsidR="00016E0A" w:rsidRPr="00B476D8" w:rsidRDefault="00016E0A" w:rsidP="00493B7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p>
        </w:tc>
      </w:tr>
      <w:tr w:rsidR="00016E0A" w:rsidRPr="005F771D" w:rsidTr="000E17FD">
        <w:trPr>
          <w:trHeight w:val="432"/>
        </w:trPr>
        <w:tc>
          <w:tcPr>
            <w:cnfStyle w:val="001000000000" w:firstRow="0" w:lastRow="0" w:firstColumn="1" w:lastColumn="0" w:oddVBand="0" w:evenVBand="0" w:oddHBand="0" w:evenHBand="0" w:firstRowFirstColumn="0" w:firstRowLastColumn="0" w:lastRowFirstColumn="0" w:lastRowLastColumn="0"/>
            <w:tcW w:w="855" w:type="pct"/>
            <w:vMerge/>
          </w:tcPr>
          <w:p w:rsidR="00016E0A" w:rsidRPr="00B476D8" w:rsidRDefault="00016E0A" w:rsidP="00493B7E">
            <w:pPr>
              <w:rPr>
                <w:rFonts w:asciiTheme="majorHAnsi" w:eastAsia="Times New Roman" w:hAnsiTheme="majorHAnsi" w:cs="Times New Roman"/>
                <w:color w:val="000000"/>
              </w:rPr>
            </w:pPr>
          </w:p>
        </w:tc>
        <w:tc>
          <w:tcPr>
            <w:tcW w:w="898" w:type="pct"/>
            <w:vAlign w:val="center"/>
          </w:tcPr>
          <w:p w:rsidR="00016E0A" w:rsidRPr="00B476D8" w:rsidRDefault="00016E0A" w:rsidP="000E17F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Graph 3.5.2</w:t>
            </w:r>
          </w:p>
        </w:tc>
        <w:tc>
          <w:tcPr>
            <w:tcW w:w="2500" w:type="pct"/>
            <w:noWrap/>
            <w:vAlign w:val="center"/>
            <w:hideMark/>
          </w:tcPr>
          <w:p w:rsidR="00016E0A" w:rsidRPr="00B476D8" w:rsidRDefault="00016E0A" w:rsidP="000E17F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Amount disbursed to the rated projects</w:t>
            </w:r>
          </w:p>
        </w:tc>
        <w:tc>
          <w:tcPr>
            <w:tcW w:w="747" w:type="pct"/>
            <w:noWrap/>
            <w:vAlign w:val="center"/>
            <w:hideMark/>
          </w:tcPr>
          <w:p w:rsidR="00016E0A" w:rsidRPr="00B476D8" w:rsidRDefault="00016E0A" w:rsidP="000E17F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22</w:t>
            </w:r>
          </w:p>
        </w:tc>
      </w:tr>
      <w:tr w:rsidR="00016E0A" w:rsidRPr="005F771D" w:rsidTr="000E17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55" w:type="pct"/>
            <w:vMerge/>
          </w:tcPr>
          <w:p w:rsidR="00016E0A" w:rsidRPr="00B476D8" w:rsidRDefault="00016E0A" w:rsidP="00493B7E">
            <w:pPr>
              <w:rPr>
                <w:rFonts w:asciiTheme="majorHAnsi" w:eastAsia="Times New Roman" w:hAnsiTheme="majorHAnsi" w:cs="Times New Roman"/>
                <w:color w:val="000000"/>
              </w:rPr>
            </w:pPr>
          </w:p>
        </w:tc>
        <w:tc>
          <w:tcPr>
            <w:tcW w:w="898" w:type="pct"/>
            <w:vAlign w:val="center"/>
          </w:tcPr>
          <w:p w:rsidR="00016E0A" w:rsidRPr="00B476D8" w:rsidRDefault="00016E0A" w:rsidP="000E17F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Graph 3.5.3</w:t>
            </w:r>
          </w:p>
        </w:tc>
        <w:tc>
          <w:tcPr>
            <w:tcW w:w="2500" w:type="pct"/>
            <w:noWrap/>
            <w:vAlign w:val="center"/>
            <w:hideMark/>
          </w:tcPr>
          <w:p w:rsidR="00016E0A" w:rsidRPr="00B476D8" w:rsidRDefault="00016E0A" w:rsidP="000E17F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Comparison between 2013 &amp; 2014</w:t>
            </w:r>
          </w:p>
        </w:tc>
        <w:tc>
          <w:tcPr>
            <w:tcW w:w="747" w:type="pct"/>
            <w:noWrap/>
            <w:vAlign w:val="center"/>
            <w:hideMark/>
          </w:tcPr>
          <w:p w:rsidR="00016E0A" w:rsidRPr="00B476D8" w:rsidRDefault="00016E0A" w:rsidP="000E17F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23</w:t>
            </w:r>
          </w:p>
        </w:tc>
      </w:tr>
      <w:tr w:rsidR="00016E0A" w:rsidRPr="005F771D" w:rsidTr="000E17FD">
        <w:trPr>
          <w:trHeight w:val="432"/>
        </w:trPr>
        <w:tc>
          <w:tcPr>
            <w:cnfStyle w:val="001000000000" w:firstRow="0" w:lastRow="0" w:firstColumn="1" w:lastColumn="0" w:oddVBand="0" w:evenVBand="0" w:oddHBand="0" w:evenHBand="0" w:firstRowFirstColumn="0" w:firstRowLastColumn="0" w:lastRowFirstColumn="0" w:lastRowLastColumn="0"/>
            <w:tcW w:w="855" w:type="pct"/>
            <w:vMerge/>
          </w:tcPr>
          <w:p w:rsidR="00016E0A" w:rsidRPr="00B476D8" w:rsidRDefault="00016E0A" w:rsidP="00493B7E">
            <w:pPr>
              <w:rPr>
                <w:rFonts w:asciiTheme="majorHAnsi" w:eastAsia="Times New Roman" w:hAnsiTheme="majorHAnsi" w:cs="Times New Roman"/>
                <w:color w:val="000000"/>
              </w:rPr>
            </w:pPr>
          </w:p>
        </w:tc>
        <w:tc>
          <w:tcPr>
            <w:tcW w:w="898" w:type="pct"/>
            <w:vAlign w:val="center"/>
          </w:tcPr>
          <w:p w:rsidR="00016E0A" w:rsidRPr="00B476D8" w:rsidRDefault="00016E0A" w:rsidP="000E17F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Graph 3.5.3</w:t>
            </w:r>
          </w:p>
        </w:tc>
        <w:tc>
          <w:tcPr>
            <w:tcW w:w="2500" w:type="pct"/>
            <w:noWrap/>
            <w:vAlign w:val="center"/>
            <w:hideMark/>
          </w:tcPr>
          <w:p w:rsidR="00016E0A" w:rsidRPr="00B476D8" w:rsidRDefault="00016E0A" w:rsidP="000E17F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Amount disbursed to the rated projects</w:t>
            </w:r>
          </w:p>
        </w:tc>
        <w:tc>
          <w:tcPr>
            <w:tcW w:w="747" w:type="pct"/>
            <w:noWrap/>
            <w:vAlign w:val="center"/>
            <w:hideMark/>
          </w:tcPr>
          <w:p w:rsidR="00016E0A" w:rsidRPr="00B476D8" w:rsidRDefault="00016E0A" w:rsidP="000E17F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23</w:t>
            </w:r>
          </w:p>
        </w:tc>
      </w:tr>
      <w:tr w:rsidR="00016E0A" w:rsidRPr="005F771D" w:rsidTr="000E17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55" w:type="pct"/>
            <w:vMerge/>
          </w:tcPr>
          <w:p w:rsidR="00016E0A" w:rsidRPr="00B476D8" w:rsidRDefault="00016E0A" w:rsidP="00493B7E">
            <w:pPr>
              <w:rPr>
                <w:rFonts w:asciiTheme="majorHAnsi" w:eastAsia="Times New Roman" w:hAnsiTheme="majorHAnsi" w:cs="Times New Roman"/>
                <w:color w:val="000000"/>
              </w:rPr>
            </w:pPr>
          </w:p>
        </w:tc>
        <w:tc>
          <w:tcPr>
            <w:tcW w:w="898" w:type="pct"/>
            <w:vAlign w:val="center"/>
          </w:tcPr>
          <w:p w:rsidR="00016E0A" w:rsidRPr="00B476D8" w:rsidRDefault="00016E0A" w:rsidP="000E17F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Graph 3.5.4</w:t>
            </w:r>
          </w:p>
        </w:tc>
        <w:tc>
          <w:tcPr>
            <w:tcW w:w="2500" w:type="pct"/>
            <w:noWrap/>
            <w:vAlign w:val="center"/>
            <w:hideMark/>
          </w:tcPr>
          <w:p w:rsidR="00016E0A" w:rsidRPr="00B476D8" w:rsidRDefault="00016E0A" w:rsidP="000E17F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Comparison between 2014 &amp; 2015</w:t>
            </w:r>
          </w:p>
        </w:tc>
        <w:tc>
          <w:tcPr>
            <w:tcW w:w="747" w:type="pct"/>
            <w:noWrap/>
            <w:vAlign w:val="center"/>
            <w:hideMark/>
          </w:tcPr>
          <w:p w:rsidR="00016E0A" w:rsidRPr="00B476D8" w:rsidRDefault="00016E0A" w:rsidP="000E17F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24</w:t>
            </w:r>
          </w:p>
        </w:tc>
      </w:tr>
      <w:tr w:rsidR="00016E0A" w:rsidRPr="005F771D" w:rsidTr="000E17FD">
        <w:trPr>
          <w:trHeight w:val="432"/>
        </w:trPr>
        <w:tc>
          <w:tcPr>
            <w:cnfStyle w:val="001000000000" w:firstRow="0" w:lastRow="0" w:firstColumn="1" w:lastColumn="0" w:oddVBand="0" w:evenVBand="0" w:oddHBand="0" w:evenHBand="0" w:firstRowFirstColumn="0" w:firstRowLastColumn="0" w:lastRowFirstColumn="0" w:lastRowLastColumn="0"/>
            <w:tcW w:w="855" w:type="pct"/>
            <w:vMerge/>
          </w:tcPr>
          <w:p w:rsidR="00016E0A" w:rsidRPr="00B476D8" w:rsidRDefault="00016E0A" w:rsidP="00493B7E">
            <w:pPr>
              <w:rPr>
                <w:rFonts w:asciiTheme="majorHAnsi" w:eastAsia="Times New Roman" w:hAnsiTheme="majorHAnsi" w:cs="Times New Roman"/>
                <w:color w:val="000000"/>
              </w:rPr>
            </w:pPr>
          </w:p>
        </w:tc>
        <w:tc>
          <w:tcPr>
            <w:tcW w:w="898" w:type="pct"/>
            <w:vAlign w:val="center"/>
          </w:tcPr>
          <w:p w:rsidR="00016E0A" w:rsidRPr="00B476D8" w:rsidRDefault="00016E0A" w:rsidP="000E17F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Graph 3.5.5</w:t>
            </w:r>
          </w:p>
        </w:tc>
        <w:tc>
          <w:tcPr>
            <w:tcW w:w="2500" w:type="pct"/>
            <w:noWrap/>
            <w:vAlign w:val="center"/>
            <w:hideMark/>
          </w:tcPr>
          <w:p w:rsidR="00016E0A" w:rsidRPr="00B476D8" w:rsidRDefault="00016E0A" w:rsidP="000E17F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Amount disbursed to the rated projects</w:t>
            </w:r>
          </w:p>
        </w:tc>
        <w:tc>
          <w:tcPr>
            <w:tcW w:w="747" w:type="pct"/>
            <w:noWrap/>
            <w:vAlign w:val="center"/>
            <w:hideMark/>
          </w:tcPr>
          <w:p w:rsidR="00016E0A" w:rsidRPr="00B476D8" w:rsidRDefault="00016E0A" w:rsidP="000E17F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24</w:t>
            </w:r>
          </w:p>
        </w:tc>
      </w:tr>
      <w:tr w:rsidR="00016E0A" w:rsidRPr="005F771D" w:rsidTr="000E17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55" w:type="pct"/>
            <w:vMerge/>
          </w:tcPr>
          <w:p w:rsidR="00016E0A" w:rsidRPr="00B476D8" w:rsidRDefault="00016E0A" w:rsidP="00493B7E">
            <w:pPr>
              <w:rPr>
                <w:rFonts w:asciiTheme="majorHAnsi" w:eastAsia="Times New Roman" w:hAnsiTheme="majorHAnsi" w:cs="Times New Roman"/>
                <w:color w:val="000000"/>
              </w:rPr>
            </w:pPr>
          </w:p>
        </w:tc>
        <w:tc>
          <w:tcPr>
            <w:tcW w:w="898" w:type="pct"/>
            <w:vAlign w:val="center"/>
          </w:tcPr>
          <w:p w:rsidR="00016E0A" w:rsidRPr="00B476D8" w:rsidRDefault="00016E0A" w:rsidP="000E17F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Graph 3.6</w:t>
            </w:r>
          </w:p>
        </w:tc>
        <w:tc>
          <w:tcPr>
            <w:tcW w:w="2500" w:type="pct"/>
            <w:noWrap/>
            <w:vAlign w:val="center"/>
            <w:hideMark/>
          </w:tcPr>
          <w:p w:rsidR="00016E0A" w:rsidRPr="00B476D8" w:rsidRDefault="00016E0A" w:rsidP="000E17F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Sector wise Disbursement of BB Refinance Fund</w:t>
            </w:r>
          </w:p>
        </w:tc>
        <w:tc>
          <w:tcPr>
            <w:tcW w:w="747" w:type="pct"/>
            <w:noWrap/>
            <w:vAlign w:val="center"/>
            <w:hideMark/>
          </w:tcPr>
          <w:p w:rsidR="00016E0A" w:rsidRPr="00B476D8" w:rsidRDefault="00016E0A" w:rsidP="000E17F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26</w:t>
            </w:r>
          </w:p>
        </w:tc>
      </w:tr>
      <w:tr w:rsidR="00016E0A" w:rsidRPr="005F771D" w:rsidTr="000E17FD">
        <w:trPr>
          <w:trHeight w:val="432"/>
        </w:trPr>
        <w:tc>
          <w:tcPr>
            <w:cnfStyle w:val="001000000000" w:firstRow="0" w:lastRow="0" w:firstColumn="1" w:lastColumn="0" w:oddVBand="0" w:evenVBand="0" w:oddHBand="0" w:evenHBand="0" w:firstRowFirstColumn="0" w:firstRowLastColumn="0" w:lastRowFirstColumn="0" w:lastRowLastColumn="0"/>
            <w:tcW w:w="855" w:type="pct"/>
            <w:vMerge w:val="restart"/>
          </w:tcPr>
          <w:p w:rsidR="00016E0A" w:rsidRPr="00B476D8" w:rsidRDefault="00016E0A" w:rsidP="00493B7E">
            <w:pPr>
              <w:rPr>
                <w:rFonts w:asciiTheme="majorHAnsi" w:eastAsia="Times New Roman" w:hAnsiTheme="majorHAnsi" w:cs="Times New Roman"/>
              </w:rPr>
            </w:pPr>
          </w:p>
          <w:p w:rsidR="00016E0A" w:rsidRPr="00B476D8" w:rsidRDefault="00016E0A" w:rsidP="008D1594">
            <w:pPr>
              <w:jc w:val="center"/>
              <w:rPr>
                <w:rFonts w:asciiTheme="majorHAnsi" w:eastAsia="Times New Roman" w:hAnsiTheme="majorHAnsi" w:cs="Times New Roman"/>
              </w:rPr>
            </w:pPr>
          </w:p>
          <w:p w:rsidR="00016E0A" w:rsidRPr="00B476D8" w:rsidRDefault="00016E0A" w:rsidP="008D1594">
            <w:pPr>
              <w:jc w:val="center"/>
              <w:rPr>
                <w:rFonts w:asciiTheme="majorHAnsi" w:eastAsia="Times New Roman" w:hAnsiTheme="majorHAnsi" w:cs="Times New Roman"/>
              </w:rPr>
            </w:pPr>
          </w:p>
          <w:p w:rsidR="00016E0A" w:rsidRPr="00B476D8" w:rsidRDefault="00016E0A" w:rsidP="008D1594">
            <w:pPr>
              <w:jc w:val="center"/>
              <w:rPr>
                <w:rFonts w:asciiTheme="majorHAnsi" w:eastAsia="Times New Roman" w:hAnsiTheme="majorHAnsi" w:cs="Times New Roman"/>
                <w:color w:val="000000"/>
              </w:rPr>
            </w:pPr>
            <w:r w:rsidRPr="00B476D8">
              <w:rPr>
                <w:rFonts w:asciiTheme="majorHAnsi" w:eastAsia="Times New Roman" w:hAnsiTheme="majorHAnsi" w:cs="Times New Roman"/>
              </w:rPr>
              <w:t>Chapter 4</w:t>
            </w:r>
          </w:p>
        </w:tc>
        <w:tc>
          <w:tcPr>
            <w:tcW w:w="898" w:type="pct"/>
          </w:tcPr>
          <w:p w:rsidR="00016E0A" w:rsidRPr="00B476D8" w:rsidRDefault="00016E0A" w:rsidP="00493B7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p>
        </w:tc>
        <w:tc>
          <w:tcPr>
            <w:tcW w:w="2500" w:type="pct"/>
            <w:noWrap/>
            <w:hideMark/>
          </w:tcPr>
          <w:p w:rsidR="00016E0A" w:rsidRPr="00B476D8" w:rsidRDefault="00016E0A" w:rsidP="00DC236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p>
        </w:tc>
        <w:tc>
          <w:tcPr>
            <w:tcW w:w="747" w:type="pct"/>
            <w:noWrap/>
            <w:hideMark/>
          </w:tcPr>
          <w:p w:rsidR="00016E0A" w:rsidRPr="00B476D8" w:rsidRDefault="00016E0A" w:rsidP="00493B7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p>
        </w:tc>
      </w:tr>
      <w:tr w:rsidR="00016E0A" w:rsidRPr="005F771D" w:rsidTr="000E17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55" w:type="pct"/>
            <w:vMerge/>
          </w:tcPr>
          <w:p w:rsidR="00016E0A" w:rsidRPr="00B476D8" w:rsidRDefault="00016E0A" w:rsidP="008D1594">
            <w:pPr>
              <w:jc w:val="center"/>
              <w:rPr>
                <w:rFonts w:asciiTheme="majorHAnsi" w:eastAsia="Times New Roman" w:hAnsiTheme="majorHAnsi" w:cs="Times New Roman"/>
                <w:color w:val="000000"/>
              </w:rPr>
            </w:pPr>
          </w:p>
        </w:tc>
        <w:tc>
          <w:tcPr>
            <w:tcW w:w="898" w:type="pct"/>
            <w:vAlign w:val="center"/>
          </w:tcPr>
          <w:p w:rsidR="00016E0A" w:rsidRPr="00B476D8" w:rsidRDefault="00016E0A" w:rsidP="000E17F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Graph 4.6</w:t>
            </w:r>
          </w:p>
        </w:tc>
        <w:tc>
          <w:tcPr>
            <w:tcW w:w="2500" w:type="pct"/>
            <w:noWrap/>
            <w:vAlign w:val="center"/>
            <w:hideMark/>
          </w:tcPr>
          <w:p w:rsidR="00016E0A" w:rsidRPr="00B476D8" w:rsidRDefault="00016E0A" w:rsidP="000E17F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hAnsiTheme="majorHAnsi" w:cs="Times New Roman"/>
              </w:rPr>
              <w:t xml:space="preserve">Comparison of Annual Basis </w:t>
            </w:r>
            <w:r w:rsidRPr="00B476D8">
              <w:rPr>
                <w:rFonts w:asciiTheme="majorHAnsi" w:hAnsiTheme="majorHAnsi" w:cs="Times New Roman"/>
                <w:bCs/>
              </w:rPr>
              <w:t>Utilization of Funds</w:t>
            </w:r>
          </w:p>
        </w:tc>
        <w:tc>
          <w:tcPr>
            <w:tcW w:w="747" w:type="pct"/>
            <w:noWrap/>
            <w:vAlign w:val="center"/>
            <w:hideMark/>
          </w:tcPr>
          <w:p w:rsidR="00016E0A" w:rsidRPr="00B476D8" w:rsidRDefault="00016E0A" w:rsidP="000E17F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B476D8">
              <w:rPr>
                <w:rFonts w:asciiTheme="majorHAnsi" w:eastAsia="Times New Roman" w:hAnsiTheme="majorHAnsi" w:cs="Times New Roman"/>
                <w:color w:val="000000"/>
              </w:rPr>
              <w:t>30</w:t>
            </w:r>
          </w:p>
        </w:tc>
      </w:tr>
      <w:tr w:rsidR="00016E0A" w:rsidRPr="005F771D" w:rsidTr="000E17FD">
        <w:trPr>
          <w:trHeight w:val="432"/>
        </w:trPr>
        <w:tc>
          <w:tcPr>
            <w:cnfStyle w:val="001000000000" w:firstRow="0" w:lastRow="0" w:firstColumn="1" w:lastColumn="0" w:oddVBand="0" w:evenVBand="0" w:oddHBand="0" w:evenHBand="0" w:firstRowFirstColumn="0" w:firstRowLastColumn="0" w:lastRowFirstColumn="0" w:lastRowLastColumn="0"/>
            <w:tcW w:w="855" w:type="pct"/>
            <w:vMerge/>
          </w:tcPr>
          <w:p w:rsidR="00016E0A" w:rsidRPr="00B476D8" w:rsidRDefault="00016E0A" w:rsidP="00493B7E">
            <w:pPr>
              <w:rPr>
                <w:rFonts w:asciiTheme="majorHAnsi" w:eastAsia="Times New Roman" w:hAnsiTheme="majorHAnsi" w:cs="Times New Roman"/>
                <w:color w:val="000000"/>
              </w:rPr>
            </w:pPr>
          </w:p>
        </w:tc>
        <w:tc>
          <w:tcPr>
            <w:tcW w:w="898" w:type="pct"/>
          </w:tcPr>
          <w:p w:rsidR="00016E0A" w:rsidRPr="00B476D8" w:rsidRDefault="00016E0A" w:rsidP="00493B7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p>
        </w:tc>
        <w:tc>
          <w:tcPr>
            <w:tcW w:w="2500" w:type="pct"/>
            <w:noWrap/>
            <w:hideMark/>
          </w:tcPr>
          <w:p w:rsidR="00016E0A" w:rsidRPr="00B476D8" w:rsidRDefault="00016E0A" w:rsidP="00DC236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p>
        </w:tc>
        <w:tc>
          <w:tcPr>
            <w:tcW w:w="747" w:type="pct"/>
            <w:noWrap/>
            <w:hideMark/>
          </w:tcPr>
          <w:p w:rsidR="00016E0A" w:rsidRPr="00B476D8" w:rsidRDefault="00016E0A" w:rsidP="00493B7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p>
        </w:tc>
      </w:tr>
      <w:tr w:rsidR="00016E0A" w:rsidRPr="005F771D" w:rsidTr="008D159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55" w:type="pct"/>
            <w:vMerge/>
          </w:tcPr>
          <w:p w:rsidR="00016E0A" w:rsidRPr="00B476D8" w:rsidRDefault="00016E0A" w:rsidP="00493B7E">
            <w:pPr>
              <w:rPr>
                <w:rFonts w:asciiTheme="majorHAnsi" w:eastAsia="Times New Roman" w:hAnsiTheme="majorHAnsi" w:cs="Times New Roman"/>
                <w:color w:val="000000"/>
              </w:rPr>
            </w:pPr>
          </w:p>
        </w:tc>
        <w:tc>
          <w:tcPr>
            <w:tcW w:w="898" w:type="pct"/>
          </w:tcPr>
          <w:p w:rsidR="00016E0A" w:rsidRPr="00B476D8" w:rsidRDefault="00016E0A" w:rsidP="00493B7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p>
        </w:tc>
        <w:tc>
          <w:tcPr>
            <w:tcW w:w="2500" w:type="pct"/>
            <w:noWrap/>
            <w:hideMark/>
          </w:tcPr>
          <w:p w:rsidR="00016E0A" w:rsidRPr="00B476D8" w:rsidRDefault="00016E0A" w:rsidP="00DC236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p>
        </w:tc>
        <w:tc>
          <w:tcPr>
            <w:tcW w:w="747" w:type="pct"/>
            <w:noWrap/>
            <w:hideMark/>
          </w:tcPr>
          <w:p w:rsidR="00016E0A" w:rsidRPr="00B476D8" w:rsidRDefault="00016E0A" w:rsidP="00493B7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p>
        </w:tc>
      </w:tr>
    </w:tbl>
    <w:p w:rsidR="005C590A" w:rsidRDefault="005C590A" w:rsidP="00E05CA5">
      <w:pPr>
        <w:tabs>
          <w:tab w:val="left" w:pos="2450"/>
        </w:tabs>
        <w:jc w:val="both"/>
        <w:rPr>
          <w:rFonts w:ascii="Times New Roman" w:hAnsi="Times New Roman" w:cs="Times New Roman"/>
          <w:sz w:val="28"/>
        </w:rPr>
      </w:pPr>
    </w:p>
    <w:p w:rsidR="002A48BD" w:rsidRDefault="002A48BD" w:rsidP="00E05CA5">
      <w:pPr>
        <w:tabs>
          <w:tab w:val="left" w:pos="2450"/>
        </w:tabs>
        <w:jc w:val="both"/>
        <w:rPr>
          <w:rFonts w:ascii="Times New Roman" w:hAnsi="Times New Roman" w:cs="Times New Roman"/>
          <w:sz w:val="28"/>
        </w:rPr>
      </w:pPr>
    </w:p>
    <w:p w:rsidR="00746AB3" w:rsidRDefault="00746AB3" w:rsidP="00E05CA5">
      <w:pPr>
        <w:tabs>
          <w:tab w:val="left" w:pos="2450"/>
        </w:tabs>
        <w:jc w:val="both"/>
        <w:rPr>
          <w:rFonts w:ascii="Times New Roman" w:hAnsi="Times New Roman" w:cs="Times New Roman"/>
          <w:sz w:val="28"/>
        </w:rPr>
      </w:pPr>
    </w:p>
    <w:p w:rsidR="00B8592C" w:rsidRDefault="00B8592C" w:rsidP="00E05CA5">
      <w:pPr>
        <w:tabs>
          <w:tab w:val="left" w:pos="2450"/>
        </w:tabs>
        <w:jc w:val="both"/>
        <w:rPr>
          <w:rFonts w:ascii="Times New Roman" w:hAnsi="Times New Roman" w:cs="Times New Roman"/>
          <w:sz w:val="28"/>
        </w:rPr>
      </w:pPr>
    </w:p>
    <w:p w:rsidR="00B8592C" w:rsidRDefault="00B8592C" w:rsidP="00E05CA5">
      <w:pPr>
        <w:tabs>
          <w:tab w:val="left" w:pos="2450"/>
        </w:tabs>
        <w:jc w:val="both"/>
        <w:rPr>
          <w:rFonts w:ascii="Times New Roman" w:hAnsi="Times New Roman" w:cs="Times New Roman"/>
          <w:sz w:val="28"/>
        </w:rPr>
      </w:pPr>
    </w:p>
    <w:p w:rsidR="00B8592C" w:rsidRDefault="00B8592C" w:rsidP="00E05CA5">
      <w:pPr>
        <w:tabs>
          <w:tab w:val="left" w:pos="2450"/>
        </w:tabs>
        <w:jc w:val="both"/>
        <w:rPr>
          <w:rFonts w:ascii="Times New Roman" w:hAnsi="Times New Roman" w:cs="Times New Roman"/>
          <w:sz w:val="28"/>
        </w:rPr>
      </w:pPr>
    </w:p>
    <w:p w:rsidR="00B8592C" w:rsidRDefault="00B8592C" w:rsidP="00E05CA5">
      <w:pPr>
        <w:tabs>
          <w:tab w:val="left" w:pos="2450"/>
        </w:tabs>
        <w:jc w:val="both"/>
        <w:rPr>
          <w:rFonts w:ascii="Times New Roman" w:hAnsi="Times New Roman" w:cs="Times New Roman"/>
          <w:sz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r>
        <w:rPr>
          <w:rFonts w:ascii="Times New Roman" w:hAnsi="Times New Roman" w:cs="Times New Roman"/>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margin-left:26.85pt;margin-top:3pt;width:433.05pt;height:266pt;z-index:251663360" fillcolor="#92cddc [1944]" strokecolor="#92cddc [1944]" strokeweight="1pt">
            <v:fill color2="#daeef3 [664]" angle="-45" focusposition="1" focussize="" focus="-50%" type="gradient"/>
            <v:shadow on="t" type="perspective" color="#205867 [1608]" opacity=".5" offset="1pt" offset2="-3pt"/>
            <o:extrusion v:ext="view" render="wireFrame"/>
            <v:textbox style="mso-next-textbox:#_x0000_s1028">
              <w:txbxContent>
                <w:p w:rsidR="00B8592C" w:rsidRPr="001570CF" w:rsidRDefault="00B8592C" w:rsidP="00B8592C">
                  <w:pPr>
                    <w:jc w:val="center"/>
                  </w:pPr>
                </w:p>
                <w:p w:rsidR="00B8592C" w:rsidRPr="00E433B5" w:rsidRDefault="00B8592C" w:rsidP="00B8592C">
                  <w:pPr>
                    <w:jc w:val="center"/>
                    <w:rPr>
                      <w:rFonts w:ascii="Times New Roman" w:hAnsi="Times New Roman" w:cs="Times New Roman"/>
                      <w:b/>
                      <w:sz w:val="44"/>
                      <w:szCs w:val="28"/>
                    </w:rPr>
                  </w:pPr>
                  <w:r w:rsidRPr="00E433B5">
                    <w:rPr>
                      <w:rFonts w:ascii="Times New Roman" w:hAnsi="Times New Roman" w:cs="Times New Roman"/>
                      <w:b/>
                      <w:sz w:val="44"/>
                      <w:szCs w:val="28"/>
                    </w:rPr>
                    <w:t>Chapter – 1</w:t>
                  </w:r>
                </w:p>
                <w:p w:rsidR="00B8592C" w:rsidRPr="00E433B5" w:rsidRDefault="00B8592C" w:rsidP="00B8592C">
                  <w:pPr>
                    <w:jc w:val="center"/>
                    <w:rPr>
                      <w:rFonts w:ascii="Times New Roman" w:hAnsi="Times New Roman" w:cs="Times New Roman"/>
                      <w:b/>
                      <w:color w:val="00B050"/>
                      <w:sz w:val="56"/>
                      <w:szCs w:val="28"/>
                    </w:rPr>
                  </w:pPr>
                  <w:r w:rsidRPr="00E433B5">
                    <w:rPr>
                      <w:rFonts w:ascii="Times New Roman" w:hAnsi="Times New Roman" w:cs="Times New Roman"/>
                      <w:b/>
                      <w:color w:val="00B050"/>
                      <w:sz w:val="56"/>
                      <w:szCs w:val="28"/>
                    </w:rPr>
                    <w:t xml:space="preserve">Introductory </w:t>
                  </w:r>
                  <w:r>
                    <w:rPr>
                      <w:rFonts w:ascii="Times New Roman" w:hAnsi="Times New Roman" w:cs="Times New Roman"/>
                      <w:b/>
                      <w:color w:val="00B050"/>
                      <w:sz w:val="56"/>
                      <w:szCs w:val="28"/>
                    </w:rPr>
                    <w:t>P</w:t>
                  </w:r>
                  <w:r w:rsidRPr="00E433B5">
                    <w:rPr>
                      <w:rFonts w:ascii="Times New Roman" w:hAnsi="Times New Roman" w:cs="Times New Roman"/>
                      <w:b/>
                      <w:color w:val="00B050"/>
                      <w:sz w:val="56"/>
                      <w:szCs w:val="28"/>
                    </w:rPr>
                    <w:t xml:space="preserve">art </w:t>
                  </w:r>
                </w:p>
              </w:txbxContent>
            </v:textbox>
          </v:shape>
        </w:pict>
      </w: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rPr>
          <w:rFonts w:ascii="Times New Roman" w:hAnsi="Times New Roman" w:cs="Times New Roman"/>
          <w:sz w:val="28"/>
          <w:szCs w:val="28"/>
        </w:rPr>
      </w:pPr>
    </w:p>
    <w:p w:rsidR="00B8592C" w:rsidRDefault="00B8592C" w:rsidP="00B8592C">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1.1.</w:t>
      </w:r>
      <w:r w:rsidRPr="00786A4F">
        <w:rPr>
          <w:rFonts w:ascii="Times New Roman" w:hAnsi="Times New Roman" w:cs="Times New Roman"/>
          <w:b/>
          <w:sz w:val="28"/>
          <w:szCs w:val="28"/>
        </w:rPr>
        <w:t xml:space="preserve"> Introduction</w:t>
      </w:r>
    </w:p>
    <w:p w:rsidR="00B8592C" w:rsidRPr="005F1A60" w:rsidRDefault="00B8592C" w:rsidP="00B8592C">
      <w:pPr>
        <w:spacing w:line="360" w:lineRule="auto"/>
        <w:jc w:val="both"/>
        <w:rPr>
          <w:rFonts w:ascii="Times New Roman" w:hAnsi="Times New Roman" w:cs="Times New Roman"/>
          <w:sz w:val="24"/>
          <w:szCs w:val="28"/>
        </w:rPr>
      </w:pPr>
      <w:r>
        <w:rPr>
          <w:rFonts w:ascii="Times New Roman" w:hAnsi="Times New Roman" w:cs="Times New Roman"/>
          <w:sz w:val="24"/>
          <w:szCs w:val="28"/>
        </w:rPr>
        <w:t>I</w:t>
      </w:r>
      <w:r w:rsidRPr="005F1A60">
        <w:rPr>
          <w:rFonts w:ascii="Times New Roman" w:hAnsi="Times New Roman" w:cs="Times New Roman"/>
          <w:sz w:val="24"/>
          <w:szCs w:val="28"/>
        </w:rPr>
        <w:t>n the 21</w:t>
      </w:r>
      <w:r w:rsidRPr="00A26C3A">
        <w:rPr>
          <w:rFonts w:ascii="Times New Roman" w:hAnsi="Times New Roman" w:cs="Times New Roman"/>
          <w:sz w:val="24"/>
          <w:szCs w:val="28"/>
          <w:vertAlign w:val="superscript"/>
        </w:rPr>
        <w:t>st</w:t>
      </w:r>
      <w:r w:rsidRPr="005F1A60">
        <w:rPr>
          <w:rFonts w:ascii="Times New Roman" w:hAnsi="Times New Roman" w:cs="Times New Roman"/>
          <w:sz w:val="24"/>
          <w:szCs w:val="28"/>
        </w:rPr>
        <w:t>century green financing becomes essential part not only in business but also in environment science. All the nations, developed and developing should take the attempts for green financing. It is estimated that global green financing in green infrastructure will reach to $40 trillion between 2012 and</w:t>
      </w:r>
      <w:r>
        <w:rPr>
          <w:rFonts w:ascii="Times New Roman" w:hAnsi="Times New Roman" w:cs="Times New Roman"/>
          <w:sz w:val="24"/>
          <w:szCs w:val="28"/>
        </w:rPr>
        <w:t xml:space="preserve"> </w:t>
      </w:r>
      <w:r w:rsidRPr="005F1A60">
        <w:rPr>
          <w:rFonts w:ascii="Times New Roman" w:hAnsi="Times New Roman" w:cs="Times New Roman"/>
          <w:sz w:val="24"/>
          <w:szCs w:val="28"/>
        </w:rPr>
        <w:t>2030.</w:t>
      </w:r>
    </w:p>
    <w:p w:rsidR="00B8592C" w:rsidRPr="005F1A60" w:rsidRDefault="00B8592C" w:rsidP="00B8592C">
      <w:pPr>
        <w:spacing w:line="360" w:lineRule="auto"/>
        <w:jc w:val="both"/>
        <w:rPr>
          <w:rFonts w:ascii="Times New Roman" w:hAnsi="Times New Roman" w:cs="Times New Roman"/>
          <w:sz w:val="24"/>
          <w:szCs w:val="28"/>
        </w:rPr>
      </w:pPr>
      <w:r w:rsidRPr="005F1A60">
        <w:rPr>
          <w:rFonts w:ascii="Times New Roman" w:hAnsi="Times New Roman" w:cs="Times New Roman"/>
          <w:sz w:val="24"/>
          <w:szCs w:val="28"/>
        </w:rPr>
        <w:t>Green finance is the principle of green credit. It refers to a series of administrative means requiring that commercial banks and other financial institutions carryon researches and developments to produce pollution treatment facilities, be engaged in the ecological protection and restoration. It also develop and utilize new energy resources, focus on the circular economic production, green goods production, and ecological agricultural production, provide loans to support relevant enterprises and institutions and implement concessionary low interest rates, but restrict new project investments of polluting enterprises accompanied with some punishable interest rates (</w:t>
      </w:r>
      <w:proofErr w:type="spellStart"/>
      <w:r w:rsidRPr="005F1A60">
        <w:rPr>
          <w:rFonts w:ascii="Times New Roman" w:hAnsi="Times New Roman" w:cs="Times New Roman"/>
          <w:sz w:val="24"/>
          <w:szCs w:val="28"/>
        </w:rPr>
        <w:t>Xu</w:t>
      </w:r>
      <w:proofErr w:type="spellEnd"/>
      <w:r w:rsidRPr="005F1A60">
        <w:rPr>
          <w:rFonts w:ascii="Times New Roman" w:hAnsi="Times New Roman" w:cs="Times New Roman"/>
          <w:sz w:val="24"/>
          <w:szCs w:val="28"/>
        </w:rPr>
        <w:t xml:space="preserve"> 2013).</w:t>
      </w:r>
    </w:p>
    <w:p w:rsidR="00B8592C" w:rsidRPr="00786A4F" w:rsidRDefault="00B8592C" w:rsidP="00B8592C">
      <w:pPr>
        <w:spacing w:line="360" w:lineRule="auto"/>
        <w:jc w:val="both"/>
        <w:rPr>
          <w:rFonts w:ascii="Times New Roman" w:hAnsi="Times New Roman" w:cs="Times New Roman"/>
          <w:sz w:val="24"/>
          <w:szCs w:val="28"/>
        </w:rPr>
      </w:pPr>
      <w:r w:rsidRPr="00786A4F">
        <w:rPr>
          <w:rFonts w:ascii="Times New Roman" w:hAnsi="Times New Roman" w:cs="Times New Roman"/>
          <w:sz w:val="24"/>
          <w:szCs w:val="28"/>
        </w:rPr>
        <w:t>Green financing can play a significant role in implementing the broader concept of sustainable economic development. Financing obstacle in Bangladesh is characterized by greater and real market risk due to its less stable macroeconomic conditions. The perception of higher risk leads to higher interest rate, shorter loan tenor, and higher equity requirements in our country. We have to address these financing barriers so as to promote green financing ensuring our sustainable economic growth.</w:t>
      </w:r>
    </w:p>
    <w:p w:rsidR="00B8592C" w:rsidRDefault="00B8592C" w:rsidP="00B8592C">
      <w:pPr>
        <w:spacing w:line="360" w:lineRule="auto"/>
        <w:jc w:val="both"/>
        <w:rPr>
          <w:rFonts w:ascii="Times New Roman" w:hAnsi="Times New Roman" w:cs="Times New Roman"/>
          <w:sz w:val="24"/>
          <w:szCs w:val="28"/>
        </w:rPr>
      </w:pPr>
      <w:r w:rsidRPr="00786A4F">
        <w:rPr>
          <w:rFonts w:ascii="Times New Roman" w:hAnsi="Times New Roman" w:cs="Times New Roman"/>
          <w:sz w:val="24"/>
          <w:szCs w:val="28"/>
        </w:rPr>
        <w:t>Bangladesh Bank (BB), since its inception in 1972 has been working for the growth and development of the country. In early 90's, awareness was started to grow for the need of banking practices for environmental conservation and social protection. In last half decade, remarkable progress has been made in the sustainable banking regulatory framework of Bangladesh. Green Banking and CSR Department was established on April 04, 2013 with a view to develop sustainable banking (i.e. green banking, CSR and financial inclusion) framework and to integrate it into core business operation of banks and FIs through efficient and effective implementation of green banking, CSR and financial inclusion. Bangladesh Bank is now successfully working in the field of policy formulation and monitoring of different aspects of green banking, that includes green finance, environmental risk management, , climate risk fund, green marketing, green product innovation, green strategic planning etc. BB launched the Tk</w:t>
      </w:r>
      <w:r>
        <w:rPr>
          <w:rFonts w:ascii="Times New Roman" w:hAnsi="Times New Roman" w:cs="Times New Roman"/>
          <w:sz w:val="24"/>
          <w:szCs w:val="28"/>
        </w:rPr>
        <w:t>.</w:t>
      </w:r>
      <w:r w:rsidRPr="00786A4F">
        <w:rPr>
          <w:rFonts w:ascii="Times New Roman" w:hAnsi="Times New Roman" w:cs="Times New Roman"/>
          <w:sz w:val="24"/>
          <w:szCs w:val="28"/>
        </w:rPr>
        <w:t xml:space="preserve"> 2.0 billion Green Banking Refinance Scheme in August 3, </w:t>
      </w:r>
      <w:r w:rsidRPr="00786A4F">
        <w:rPr>
          <w:rFonts w:ascii="Times New Roman" w:hAnsi="Times New Roman" w:cs="Times New Roman"/>
          <w:sz w:val="24"/>
          <w:szCs w:val="28"/>
        </w:rPr>
        <w:lastRenderedPageBreak/>
        <w:t>2009 to fund renewable energy projects in the country. Tk</w:t>
      </w:r>
      <w:r>
        <w:rPr>
          <w:rFonts w:ascii="Times New Roman" w:hAnsi="Times New Roman" w:cs="Times New Roman"/>
          <w:sz w:val="24"/>
          <w:szCs w:val="28"/>
        </w:rPr>
        <w:t>.</w:t>
      </w:r>
      <w:r w:rsidRPr="00786A4F">
        <w:rPr>
          <w:rFonts w:ascii="Times New Roman" w:hAnsi="Times New Roman" w:cs="Times New Roman"/>
          <w:sz w:val="24"/>
          <w:szCs w:val="28"/>
        </w:rPr>
        <w:t xml:space="preserve"> 1.64 billion has been refinanced from this fund up to November 2014. Many commercial Banks has signed an agreement with BB to disburse the environment-friendly loan.</w:t>
      </w:r>
    </w:p>
    <w:p w:rsidR="00B8592C" w:rsidRDefault="00B8592C" w:rsidP="00B8592C">
      <w:pPr>
        <w:spacing w:line="360" w:lineRule="auto"/>
        <w:rPr>
          <w:rFonts w:ascii="Times New Roman" w:hAnsi="Times New Roman" w:cs="Times New Roman"/>
          <w:b/>
          <w:sz w:val="28"/>
          <w:szCs w:val="28"/>
        </w:rPr>
      </w:pPr>
      <w:r>
        <w:rPr>
          <w:rFonts w:ascii="Times New Roman" w:hAnsi="Times New Roman" w:cs="Times New Roman"/>
          <w:b/>
          <w:sz w:val="28"/>
          <w:szCs w:val="28"/>
        </w:rPr>
        <w:t>1.2. Objectives of the study</w:t>
      </w:r>
    </w:p>
    <w:p w:rsidR="00B8592C" w:rsidRPr="005F1A60" w:rsidRDefault="00B8592C" w:rsidP="00B8592C">
      <w:pPr>
        <w:spacing w:line="360" w:lineRule="auto"/>
        <w:jc w:val="both"/>
        <w:rPr>
          <w:rFonts w:ascii="Times New Roman" w:hAnsi="Times New Roman" w:cs="Times New Roman"/>
          <w:sz w:val="24"/>
          <w:szCs w:val="28"/>
        </w:rPr>
      </w:pPr>
      <w:r w:rsidRPr="005F1A60">
        <w:rPr>
          <w:rFonts w:ascii="Times New Roman" w:hAnsi="Times New Roman" w:cs="Times New Roman"/>
          <w:sz w:val="24"/>
          <w:szCs w:val="28"/>
        </w:rPr>
        <w:t xml:space="preserve">The main objective of writing this </w:t>
      </w:r>
      <w:r>
        <w:rPr>
          <w:rFonts w:ascii="Times New Roman" w:hAnsi="Times New Roman" w:cs="Times New Roman"/>
          <w:sz w:val="24"/>
          <w:szCs w:val="28"/>
        </w:rPr>
        <w:t>project paper</w:t>
      </w:r>
      <w:r w:rsidRPr="005F1A60">
        <w:rPr>
          <w:rFonts w:ascii="Times New Roman" w:hAnsi="Times New Roman" w:cs="Times New Roman"/>
          <w:sz w:val="24"/>
          <w:szCs w:val="28"/>
        </w:rPr>
        <w:t xml:space="preserve"> is </w:t>
      </w:r>
      <w:r w:rsidRPr="00D95172">
        <w:rPr>
          <w:rFonts w:ascii="Times New Roman" w:hAnsi="Times New Roman" w:cs="Times New Roman"/>
          <w:sz w:val="24"/>
          <w:szCs w:val="28"/>
        </w:rPr>
        <w:t>to show the contribution of banks for green economy with the green finance mechanism</w:t>
      </w:r>
      <w:r>
        <w:rPr>
          <w:rFonts w:ascii="Times New Roman" w:hAnsi="Times New Roman" w:cs="Times New Roman"/>
          <w:sz w:val="24"/>
          <w:szCs w:val="28"/>
        </w:rPr>
        <w:t>.</w:t>
      </w:r>
      <w:r>
        <w:rPr>
          <w:rFonts w:ascii="Times New Roman" w:hAnsi="Times New Roman" w:cs="Times New Roman"/>
          <w:b/>
          <w:sz w:val="24"/>
          <w:szCs w:val="28"/>
        </w:rPr>
        <w:t xml:space="preserve"> </w:t>
      </w:r>
      <w:r w:rsidRPr="005F1A60">
        <w:rPr>
          <w:rFonts w:ascii="Times New Roman" w:hAnsi="Times New Roman" w:cs="Times New Roman"/>
          <w:sz w:val="24"/>
          <w:szCs w:val="28"/>
        </w:rPr>
        <w:t xml:space="preserve">The specific objectives can be stated as under: </w:t>
      </w:r>
    </w:p>
    <w:p w:rsidR="00B8592C" w:rsidRPr="00A26C3A" w:rsidRDefault="00B8592C" w:rsidP="00B8592C">
      <w:pPr>
        <w:pStyle w:val="ListParagraph"/>
        <w:numPr>
          <w:ilvl w:val="0"/>
          <w:numId w:val="4"/>
        </w:numPr>
        <w:spacing w:line="360" w:lineRule="auto"/>
        <w:jc w:val="both"/>
        <w:rPr>
          <w:rFonts w:ascii="Times New Roman" w:hAnsi="Times New Roman" w:cs="Times New Roman"/>
          <w:sz w:val="24"/>
          <w:szCs w:val="28"/>
        </w:rPr>
      </w:pPr>
      <w:r w:rsidRPr="00A26C3A">
        <w:rPr>
          <w:rFonts w:ascii="Times New Roman" w:hAnsi="Times New Roman" w:cs="Times New Roman"/>
          <w:sz w:val="24"/>
          <w:szCs w:val="28"/>
        </w:rPr>
        <w:t>To measure the concept of green finance</w:t>
      </w:r>
      <w:r>
        <w:rPr>
          <w:rFonts w:ascii="Times New Roman" w:hAnsi="Times New Roman" w:cs="Times New Roman"/>
          <w:sz w:val="24"/>
          <w:szCs w:val="28"/>
        </w:rPr>
        <w:t>.</w:t>
      </w:r>
    </w:p>
    <w:p w:rsidR="00B8592C" w:rsidRPr="00A26C3A" w:rsidRDefault="00B8592C" w:rsidP="00B8592C">
      <w:pPr>
        <w:pStyle w:val="ListParagraph"/>
        <w:numPr>
          <w:ilvl w:val="0"/>
          <w:numId w:val="4"/>
        </w:numPr>
        <w:spacing w:line="360" w:lineRule="auto"/>
        <w:jc w:val="both"/>
        <w:rPr>
          <w:rFonts w:ascii="Times New Roman" w:hAnsi="Times New Roman" w:cs="Times New Roman"/>
          <w:sz w:val="24"/>
          <w:szCs w:val="28"/>
        </w:rPr>
      </w:pPr>
      <w:r w:rsidRPr="00A26C3A">
        <w:rPr>
          <w:rFonts w:ascii="Times New Roman" w:hAnsi="Times New Roman" w:cs="Times New Roman"/>
          <w:sz w:val="24"/>
          <w:szCs w:val="28"/>
        </w:rPr>
        <w:t xml:space="preserve">To show the trend of green </w:t>
      </w:r>
      <w:r>
        <w:rPr>
          <w:rFonts w:ascii="Times New Roman" w:hAnsi="Times New Roman" w:cs="Times New Roman"/>
          <w:sz w:val="24"/>
          <w:szCs w:val="28"/>
        </w:rPr>
        <w:t>investment of banks</w:t>
      </w:r>
      <w:r w:rsidRPr="00A26C3A">
        <w:rPr>
          <w:rFonts w:ascii="Times New Roman" w:hAnsi="Times New Roman" w:cs="Times New Roman"/>
          <w:sz w:val="24"/>
          <w:szCs w:val="28"/>
        </w:rPr>
        <w:t xml:space="preserve"> in Bangladesh</w:t>
      </w:r>
    </w:p>
    <w:p w:rsidR="00B8592C" w:rsidRDefault="00B8592C" w:rsidP="00B8592C">
      <w:pPr>
        <w:pStyle w:val="ListParagraph"/>
        <w:numPr>
          <w:ilvl w:val="0"/>
          <w:numId w:val="4"/>
        </w:num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To assess the direct and indirect green finance in Bangladesh. </w:t>
      </w:r>
    </w:p>
    <w:p w:rsidR="00B8592C" w:rsidRPr="00A26C3A" w:rsidRDefault="00B8592C" w:rsidP="00B8592C">
      <w:pPr>
        <w:pStyle w:val="ListParagraph"/>
        <w:numPr>
          <w:ilvl w:val="0"/>
          <w:numId w:val="4"/>
        </w:numPr>
        <w:spacing w:line="360" w:lineRule="auto"/>
        <w:jc w:val="both"/>
        <w:rPr>
          <w:rFonts w:ascii="Times New Roman" w:hAnsi="Times New Roman" w:cs="Times New Roman"/>
          <w:sz w:val="24"/>
          <w:szCs w:val="28"/>
        </w:rPr>
      </w:pPr>
      <w:r w:rsidRPr="00A26C3A">
        <w:rPr>
          <w:rFonts w:ascii="Times New Roman" w:hAnsi="Times New Roman" w:cs="Times New Roman"/>
          <w:sz w:val="24"/>
          <w:szCs w:val="28"/>
        </w:rPr>
        <w:t xml:space="preserve">To identify various </w:t>
      </w:r>
      <w:r>
        <w:rPr>
          <w:rFonts w:ascii="Times New Roman" w:hAnsi="Times New Roman" w:cs="Times New Roman"/>
          <w:sz w:val="24"/>
          <w:szCs w:val="28"/>
        </w:rPr>
        <w:t xml:space="preserve">policies </w:t>
      </w:r>
      <w:r w:rsidRPr="00A26C3A">
        <w:rPr>
          <w:rFonts w:ascii="Times New Roman" w:hAnsi="Times New Roman" w:cs="Times New Roman"/>
          <w:sz w:val="24"/>
          <w:szCs w:val="28"/>
        </w:rPr>
        <w:t xml:space="preserve">of green </w:t>
      </w:r>
      <w:r>
        <w:rPr>
          <w:rFonts w:ascii="Times New Roman" w:hAnsi="Times New Roman" w:cs="Times New Roman"/>
          <w:sz w:val="24"/>
          <w:szCs w:val="28"/>
        </w:rPr>
        <w:t>financing of Banks.</w:t>
      </w:r>
    </w:p>
    <w:p w:rsidR="00B8592C" w:rsidRPr="00A26C3A" w:rsidRDefault="00B8592C" w:rsidP="00B8592C">
      <w:pPr>
        <w:pStyle w:val="ListParagraph"/>
        <w:numPr>
          <w:ilvl w:val="0"/>
          <w:numId w:val="4"/>
        </w:numPr>
        <w:spacing w:line="360" w:lineRule="auto"/>
        <w:jc w:val="both"/>
        <w:rPr>
          <w:rFonts w:ascii="Times New Roman" w:hAnsi="Times New Roman" w:cs="Times New Roman"/>
          <w:sz w:val="24"/>
          <w:szCs w:val="28"/>
        </w:rPr>
      </w:pPr>
      <w:r w:rsidRPr="00A26C3A">
        <w:rPr>
          <w:rFonts w:ascii="Times New Roman" w:hAnsi="Times New Roman" w:cs="Times New Roman"/>
          <w:sz w:val="24"/>
          <w:szCs w:val="28"/>
        </w:rPr>
        <w:t>To analyze the green finance performances of scheduled banks</w:t>
      </w:r>
      <w:r>
        <w:rPr>
          <w:rFonts w:ascii="Times New Roman" w:hAnsi="Times New Roman" w:cs="Times New Roman"/>
          <w:sz w:val="24"/>
          <w:szCs w:val="28"/>
        </w:rPr>
        <w:t>.</w:t>
      </w:r>
    </w:p>
    <w:p w:rsidR="00B8592C" w:rsidRDefault="00B8592C" w:rsidP="00B8592C">
      <w:pPr>
        <w:pStyle w:val="ListParagraph"/>
        <w:numPr>
          <w:ilvl w:val="0"/>
          <w:numId w:val="4"/>
        </w:numPr>
        <w:spacing w:line="360" w:lineRule="auto"/>
        <w:jc w:val="both"/>
        <w:rPr>
          <w:rFonts w:ascii="Times New Roman" w:hAnsi="Times New Roman" w:cs="Times New Roman"/>
          <w:sz w:val="24"/>
          <w:szCs w:val="28"/>
        </w:rPr>
      </w:pPr>
      <w:r w:rsidRPr="00A26C3A">
        <w:rPr>
          <w:rFonts w:ascii="Times New Roman" w:hAnsi="Times New Roman" w:cs="Times New Roman"/>
          <w:sz w:val="24"/>
          <w:szCs w:val="28"/>
        </w:rPr>
        <w:t>To evaluate the procedures of green banking</w:t>
      </w:r>
      <w:r>
        <w:rPr>
          <w:rFonts w:ascii="Times New Roman" w:hAnsi="Times New Roman" w:cs="Times New Roman"/>
          <w:sz w:val="24"/>
          <w:szCs w:val="28"/>
        </w:rPr>
        <w:t>.</w:t>
      </w:r>
    </w:p>
    <w:p w:rsidR="00B8592C" w:rsidRPr="00A26C3A" w:rsidRDefault="00B8592C" w:rsidP="00B8592C">
      <w:pPr>
        <w:pStyle w:val="ListParagraph"/>
        <w:numPr>
          <w:ilvl w:val="0"/>
          <w:numId w:val="4"/>
        </w:num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To </w:t>
      </w:r>
      <w:r w:rsidRPr="005F1A60">
        <w:rPr>
          <w:rFonts w:ascii="Times New Roman" w:hAnsi="Times New Roman" w:cs="Times New Roman"/>
          <w:sz w:val="24"/>
          <w:szCs w:val="28"/>
        </w:rPr>
        <w:t>fulfill the partial requirements of the BBA program.</w:t>
      </w:r>
    </w:p>
    <w:p w:rsidR="00B8592C" w:rsidRPr="00A26C3A" w:rsidRDefault="00B8592C" w:rsidP="00B8592C">
      <w:pPr>
        <w:spacing w:line="360" w:lineRule="auto"/>
        <w:rPr>
          <w:rFonts w:ascii="Times New Roman" w:hAnsi="Times New Roman" w:cs="Times New Roman"/>
          <w:b/>
          <w:sz w:val="2"/>
          <w:szCs w:val="28"/>
        </w:rPr>
      </w:pPr>
    </w:p>
    <w:p w:rsidR="00B8592C" w:rsidRDefault="00B8592C" w:rsidP="00B8592C">
      <w:pPr>
        <w:spacing w:line="360" w:lineRule="auto"/>
        <w:rPr>
          <w:rFonts w:ascii="Times New Roman" w:hAnsi="Times New Roman" w:cs="Times New Roman"/>
          <w:b/>
          <w:sz w:val="28"/>
          <w:szCs w:val="28"/>
        </w:rPr>
      </w:pPr>
      <w:r>
        <w:rPr>
          <w:rFonts w:ascii="Times New Roman" w:hAnsi="Times New Roman" w:cs="Times New Roman"/>
          <w:b/>
          <w:sz w:val="28"/>
          <w:szCs w:val="28"/>
        </w:rPr>
        <w:t>1.3. Methodology of the study</w:t>
      </w:r>
    </w:p>
    <w:p w:rsidR="00B8592C" w:rsidRPr="00A26C3A" w:rsidRDefault="00B8592C" w:rsidP="00B8592C">
      <w:pPr>
        <w:spacing w:line="360" w:lineRule="auto"/>
        <w:jc w:val="both"/>
        <w:rPr>
          <w:rFonts w:ascii="Times New Roman" w:hAnsi="Times New Roman" w:cs="Times New Roman"/>
          <w:sz w:val="24"/>
          <w:szCs w:val="28"/>
        </w:rPr>
      </w:pPr>
      <w:r w:rsidRPr="00A26C3A">
        <w:rPr>
          <w:rFonts w:ascii="Times New Roman" w:hAnsi="Times New Roman" w:cs="Times New Roman"/>
          <w:sz w:val="24"/>
          <w:szCs w:val="28"/>
        </w:rPr>
        <w:t>The study has been conducted by the views of key persons of banks and research institutes with unstructured discussions and secondary data available from Bangladesh Bank, World Bank, Uni</w:t>
      </w:r>
      <w:r>
        <w:rPr>
          <w:rFonts w:ascii="Times New Roman" w:hAnsi="Times New Roman" w:cs="Times New Roman"/>
          <w:sz w:val="24"/>
          <w:szCs w:val="28"/>
        </w:rPr>
        <w:t>ted Nations Environment Program</w:t>
      </w:r>
      <w:r w:rsidRPr="00A26C3A">
        <w:rPr>
          <w:rFonts w:ascii="Times New Roman" w:hAnsi="Times New Roman" w:cs="Times New Roman"/>
          <w:sz w:val="24"/>
          <w:szCs w:val="28"/>
        </w:rPr>
        <w:t xml:space="preserve"> (UNEP), published articles in different journals and renowned newspapers, and the data available in web sites as well as the financial reports of banks and other financial institutions. The qualitative data have been reported overtly into the flowcharts, which indicate different wings about the tradeoff between environment and economy of green banking. And for quantitative data, three consecutive years’ (2012, 2013 and 2014) green banking performance has been taken into consideration.</w:t>
      </w:r>
    </w:p>
    <w:p w:rsidR="00B8592C" w:rsidRPr="001E64B0" w:rsidRDefault="00B8592C" w:rsidP="00B8592C">
      <w:pPr>
        <w:spacing w:line="360" w:lineRule="auto"/>
        <w:rPr>
          <w:rFonts w:ascii="Times New Roman" w:hAnsi="Times New Roman" w:cs="Times New Roman"/>
          <w:b/>
          <w:sz w:val="2"/>
          <w:szCs w:val="28"/>
        </w:rPr>
      </w:pPr>
    </w:p>
    <w:p w:rsidR="00B8592C" w:rsidRDefault="00B8592C" w:rsidP="00B8592C">
      <w:pPr>
        <w:spacing w:line="360" w:lineRule="auto"/>
        <w:rPr>
          <w:rFonts w:ascii="Times New Roman" w:hAnsi="Times New Roman" w:cs="Times New Roman"/>
          <w:sz w:val="28"/>
          <w:szCs w:val="28"/>
        </w:rPr>
      </w:pPr>
      <w:r>
        <w:rPr>
          <w:rFonts w:ascii="Times New Roman" w:hAnsi="Times New Roman" w:cs="Times New Roman"/>
          <w:b/>
          <w:sz w:val="28"/>
          <w:szCs w:val="28"/>
        </w:rPr>
        <w:t xml:space="preserve">1.4. </w:t>
      </w:r>
      <w:r w:rsidRPr="00786A4F">
        <w:rPr>
          <w:rFonts w:ascii="Times New Roman" w:hAnsi="Times New Roman" w:cs="Times New Roman"/>
          <w:b/>
          <w:sz w:val="28"/>
          <w:szCs w:val="28"/>
        </w:rPr>
        <w:t>L</w:t>
      </w:r>
      <w:r>
        <w:rPr>
          <w:rFonts w:ascii="Times New Roman" w:hAnsi="Times New Roman" w:cs="Times New Roman"/>
          <w:b/>
          <w:sz w:val="28"/>
          <w:szCs w:val="28"/>
        </w:rPr>
        <w:t>iterature Review</w:t>
      </w:r>
    </w:p>
    <w:p w:rsidR="00B8592C" w:rsidRDefault="00B8592C" w:rsidP="00B8592C">
      <w:pPr>
        <w:spacing w:line="360" w:lineRule="auto"/>
        <w:jc w:val="both"/>
        <w:rPr>
          <w:rFonts w:ascii="Times New Roman" w:hAnsi="Times New Roman" w:cs="Times New Roman"/>
          <w:sz w:val="24"/>
          <w:szCs w:val="28"/>
        </w:rPr>
      </w:pPr>
      <w:proofErr w:type="spellStart"/>
      <w:r w:rsidRPr="002F3850">
        <w:rPr>
          <w:rFonts w:ascii="Times New Roman" w:hAnsi="Times New Roman" w:cs="Times New Roman"/>
          <w:b/>
          <w:sz w:val="24"/>
          <w:szCs w:val="28"/>
        </w:rPr>
        <w:t>Rombel</w:t>
      </w:r>
      <w:proofErr w:type="spellEnd"/>
      <w:r w:rsidRPr="002F3850">
        <w:rPr>
          <w:rFonts w:ascii="Times New Roman" w:hAnsi="Times New Roman" w:cs="Times New Roman"/>
          <w:b/>
          <w:sz w:val="24"/>
          <w:szCs w:val="28"/>
        </w:rPr>
        <w:t>, A., 2008,</w:t>
      </w:r>
      <w:r>
        <w:rPr>
          <w:rFonts w:ascii="Times New Roman" w:hAnsi="Times New Roman" w:cs="Times New Roman"/>
          <w:sz w:val="24"/>
          <w:szCs w:val="28"/>
        </w:rPr>
        <w:t xml:space="preserve"> </w:t>
      </w:r>
      <w:r w:rsidRPr="00832EE7">
        <w:rPr>
          <w:rFonts w:ascii="Times New Roman" w:hAnsi="Times New Roman" w:cs="Times New Roman"/>
          <w:sz w:val="24"/>
          <w:szCs w:val="28"/>
        </w:rPr>
        <w:t>As the global financial markets remain anemic after the 2009 US-triggered financial crisis and the still lingering Eurozone debt crisis, Green Funds or Green financing is evolving as the key driver in stimulating a sustainable world economy.</w:t>
      </w:r>
    </w:p>
    <w:p w:rsidR="00B8592C" w:rsidRPr="00467D76" w:rsidRDefault="00B8592C" w:rsidP="00B8592C">
      <w:pPr>
        <w:spacing w:line="360" w:lineRule="auto"/>
        <w:jc w:val="both"/>
        <w:rPr>
          <w:rFonts w:ascii="Times New Roman" w:hAnsi="Times New Roman" w:cs="Times New Roman"/>
          <w:sz w:val="24"/>
          <w:szCs w:val="28"/>
        </w:rPr>
      </w:pPr>
      <w:r w:rsidRPr="0098515E">
        <w:rPr>
          <w:rFonts w:ascii="Times New Roman" w:hAnsi="Times New Roman" w:cs="Times New Roman"/>
          <w:sz w:val="24"/>
          <w:szCs w:val="28"/>
        </w:rPr>
        <w:lastRenderedPageBreak/>
        <w:t>According to the World Bank report,</w:t>
      </w:r>
      <w:r w:rsidRPr="00467D76">
        <w:rPr>
          <w:rFonts w:ascii="Times New Roman" w:hAnsi="Times New Roman" w:cs="Times New Roman"/>
          <w:sz w:val="24"/>
          <w:szCs w:val="28"/>
        </w:rPr>
        <w:t xml:space="preserve"> significant investment flows, largely from the private sectors, have been mobilized to meet climate commitments while simultaneously contributing to low emission economic development in IFC client countries.</w:t>
      </w:r>
      <w:r w:rsidRPr="00467D76">
        <w:rPr>
          <w:rFonts w:ascii="Times New Roman" w:hAnsi="Times New Roman" w:cs="Times New Roman"/>
          <w:sz w:val="24"/>
          <w:szCs w:val="28"/>
        </w:rPr>
        <w:tab/>
      </w:r>
    </w:p>
    <w:p w:rsidR="00B8592C" w:rsidRPr="00467D76" w:rsidRDefault="00B8592C" w:rsidP="00B8592C">
      <w:pPr>
        <w:spacing w:line="360" w:lineRule="auto"/>
        <w:jc w:val="both"/>
        <w:rPr>
          <w:rFonts w:ascii="Times New Roman" w:hAnsi="Times New Roman" w:cs="Times New Roman"/>
          <w:sz w:val="24"/>
          <w:szCs w:val="28"/>
        </w:rPr>
      </w:pPr>
      <w:r w:rsidRPr="002F3850">
        <w:rPr>
          <w:rFonts w:ascii="Times New Roman" w:hAnsi="Times New Roman" w:cs="Times New Roman"/>
          <w:b/>
          <w:sz w:val="24"/>
          <w:szCs w:val="28"/>
        </w:rPr>
        <w:t xml:space="preserve">In the paper of </w:t>
      </w:r>
      <w:proofErr w:type="spellStart"/>
      <w:r w:rsidRPr="002F3850">
        <w:rPr>
          <w:rFonts w:ascii="Times New Roman" w:hAnsi="Times New Roman" w:cs="Times New Roman"/>
          <w:b/>
          <w:sz w:val="24"/>
          <w:szCs w:val="28"/>
        </w:rPr>
        <w:t>Sharmina</w:t>
      </w:r>
      <w:proofErr w:type="spellEnd"/>
      <w:r w:rsidRPr="002F3850">
        <w:rPr>
          <w:rFonts w:ascii="Times New Roman" w:hAnsi="Times New Roman" w:cs="Times New Roman"/>
          <w:b/>
          <w:sz w:val="24"/>
          <w:szCs w:val="28"/>
        </w:rPr>
        <w:t>, M. et al (2009) Green Investment schemes</w:t>
      </w:r>
      <w:r w:rsidRPr="00467D76">
        <w:rPr>
          <w:rFonts w:ascii="Times New Roman" w:hAnsi="Times New Roman" w:cs="Times New Roman"/>
          <w:sz w:val="24"/>
          <w:szCs w:val="28"/>
        </w:rPr>
        <w:t>: financing energy-efficiency in CEE and a model for post- 2012 climate mitigation finance, the authors discussed Green Investment Schemes (GIS) as having been introduced to ensure the climate integrity of international emission trading (IET) involving first commitment period excess assigned amount units (AAUs) in former communist countries for the purpose of other countries’ compliance with Kyoto commitments. It discusses how GIS could provide new and significant sources of GHG mitigation financing in the seller countries. It also investigates how the flexibility of GIS can be best utilized for maximizing benefits to climate and society as well as ensures that environmental integrity is not compromised at the expense of its simplicity and flexibility. An example of GIS application is the thermal retrofitting of old inefficient building stocks.</w:t>
      </w:r>
    </w:p>
    <w:p w:rsidR="00B8592C" w:rsidRPr="00467D76" w:rsidRDefault="00B8592C" w:rsidP="00B8592C">
      <w:pPr>
        <w:spacing w:line="360" w:lineRule="auto"/>
        <w:jc w:val="both"/>
        <w:rPr>
          <w:rFonts w:ascii="Times New Roman" w:hAnsi="Times New Roman" w:cs="Times New Roman"/>
          <w:sz w:val="24"/>
          <w:szCs w:val="28"/>
        </w:rPr>
      </w:pPr>
      <w:r w:rsidRPr="002F3850">
        <w:rPr>
          <w:rFonts w:ascii="Times New Roman" w:hAnsi="Times New Roman" w:cs="Times New Roman"/>
          <w:b/>
          <w:sz w:val="24"/>
          <w:szCs w:val="28"/>
        </w:rPr>
        <w:t xml:space="preserve">Another paper by </w:t>
      </w:r>
      <w:proofErr w:type="spellStart"/>
      <w:r w:rsidRPr="002F3850">
        <w:rPr>
          <w:rFonts w:ascii="Times New Roman" w:hAnsi="Times New Roman" w:cs="Times New Roman"/>
          <w:b/>
          <w:sz w:val="24"/>
          <w:szCs w:val="28"/>
        </w:rPr>
        <w:t>Bakhtyar</w:t>
      </w:r>
      <w:proofErr w:type="spellEnd"/>
      <w:r w:rsidRPr="002F3850">
        <w:rPr>
          <w:rFonts w:ascii="Times New Roman" w:hAnsi="Times New Roman" w:cs="Times New Roman"/>
          <w:b/>
          <w:sz w:val="24"/>
          <w:szCs w:val="28"/>
        </w:rPr>
        <w:t>, B. et al (2012),</w:t>
      </w:r>
      <w:r w:rsidRPr="00467D76">
        <w:rPr>
          <w:rFonts w:ascii="Times New Roman" w:hAnsi="Times New Roman" w:cs="Times New Roman"/>
          <w:sz w:val="24"/>
          <w:szCs w:val="28"/>
        </w:rPr>
        <w:t xml:space="preserve"> entitled the Alternative Finance Models for Green tech Startup, the authors present the ideas of technologies that have been produced with different models to promote green tech offered the keys and ingredients to look at Finance. They stressed that recognizing that understanding the technologies and finance is not the only crucial aspect to consider, but also the timing, targeting and getting the individual companies involved in promoting the green tech as key elements in green tech startup. The paper discusses banking problems involving green tech startup as well as the role of Debt Venture companies and their views regarding green technologies.  </w:t>
      </w:r>
    </w:p>
    <w:p w:rsidR="00B8592C" w:rsidRDefault="00B8592C" w:rsidP="00B8592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1.5. </w:t>
      </w:r>
      <w:r w:rsidRPr="00786A4F">
        <w:rPr>
          <w:rFonts w:ascii="Times New Roman" w:hAnsi="Times New Roman" w:cs="Times New Roman"/>
          <w:b/>
          <w:sz w:val="28"/>
          <w:szCs w:val="28"/>
        </w:rPr>
        <w:t>Limitations of the Study</w:t>
      </w:r>
    </w:p>
    <w:p w:rsidR="00B8592C" w:rsidRPr="00346655" w:rsidRDefault="00B8592C" w:rsidP="00B8592C">
      <w:pPr>
        <w:spacing w:line="360" w:lineRule="auto"/>
        <w:rPr>
          <w:rFonts w:ascii="Times New Roman" w:hAnsi="Times New Roman" w:cs="Times New Roman"/>
          <w:b/>
          <w:sz w:val="28"/>
          <w:szCs w:val="28"/>
        </w:rPr>
      </w:pPr>
      <w:r w:rsidRPr="0060174C">
        <w:rPr>
          <w:rFonts w:ascii="Times New Roman" w:eastAsia="Times New Roman" w:hAnsi="Times New Roman" w:cs="Times New Roman"/>
          <w:sz w:val="24"/>
          <w:szCs w:val="24"/>
          <w:lang w:bidi="th-TH"/>
        </w:rPr>
        <w:t>This study was not free from limitations. It is important to note that these limitations have somehow contributed in developing a dazzling and outstanding report. Below these limitations are:</w:t>
      </w:r>
    </w:p>
    <w:p w:rsidR="00B8592C" w:rsidRPr="0060174C" w:rsidRDefault="00B8592C" w:rsidP="00B8592C">
      <w:pPr>
        <w:numPr>
          <w:ilvl w:val="0"/>
          <w:numId w:val="5"/>
        </w:numPr>
        <w:spacing w:after="0" w:line="360" w:lineRule="auto"/>
        <w:jc w:val="both"/>
        <w:rPr>
          <w:rFonts w:ascii="Times New Roman" w:eastAsia="Times New Roman" w:hAnsi="Times New Roman" w:cs="Times New Roman"/>
          <w:sz w:val="24"/>
          <w:szCs w:val="24"/>
          <w:lang w:bidi="th-TH"/>
        </w:rPr>
      </w:pPr>
      <w:r w:rsidRPr="0060174C">
        <w:rPr>
          <w:rFonts w:ascii="Times New Roman" w:eastAsia="Times New Roman" w:hAnsi="Times New Roman" w:cs="Times New Roman"/>
          <w:sz w:val="24"/>
          <w:szCs w:val="24"/>
          <w:lang w:bidi="th-TH"/>
        </w:rPr>
        <w:t>Major limitation of this report was time constrained.</w:t>
      </w:r>
    </w:p>
    <w:p w:rsidR="00B8592C" w:rsidRPr="0060174C" w:rsidRDefault="00B8592C" w:rsidP="00B8592C">
      <w:pPr>
        <w:numPr>
          <w:ilvl w:val="0"/>
          <w:numId w:val="5"/>
        </w:numPr>
        <w:spacing w:after="0" w:line="360" w:lineRule="auto"/>
        <w:jc w:val="both"/>
        <w:rPr>
          <w:rFonts w:ascii="Times New Roman" w:eastAsia="Times New Roman" w:hAnsi="Times New Roman" w:cs="Times New Roman"/>
          <w:sz w:val="24"/>
          <w:szCs w:val="24"/>
          <w:lang w:bidi="th-TH"/>
        </w:rPr>
      </w:pPr>
      <w:r w:rsidRPr="0060174C">
        <w:rPr>
          <w:rFonts w:ascii="Times New Roman" w:eastAsia="Times New Roman" w:hAnsi="Times New Roman" w:cs="Times New Roman"/>
          <w:sz w:val="24"/>
          <w:szCs w:val="24"/>
          <w:lang w:bidi="th-TH"/>
        </w:rPr>
        <w:t>The annual report and websites were the main secondary information source that weren’t enough to complete the report.</w:t>
      </w:r>
    </w:p>
    <w:p w:rsidR="00B8592C" w:rsidRPr="009501F1" w:rsidRDefault="00B8592C" w:rsidP="00B8592C">
      <w:pPr>
        <w:numPr>
          <w:ilvl w:val="0"/>
          <w:numId w:val="5"/>
        </w:numPr>
        <w:spacing w:after="0" w:line="360" w:lineRule="auto"/>
        <w:jc w:val="both"/>
        <w:rPr>
          <w:rFonts w:ascii="Times New Roman" w:eastAsia="Times New Roman" w:hAnsi="Times New Roman" w:cs="Times New Roman"/>
          <w:sz w:val="24"/>
          <w:szCs w:val="24"/>
          <w:lang w:bidi="th-TH"/>
        </w:rPr>
      </w:pPr>
      <w:r w:rsidRPr="0060174C">
        <w:rPr>
          <w:rFonts w:ascii="Times New Roman" w:eastAsia="Times New Roman" w:hAnsi="Times New Roman" w:cs="Times New Roman"/>
          <w:sz w:val="24"/>
          <w:szCs w:val="24"/>
          <w:lang w:bidi="th-TH"/>
        </w:rPr>
        <w:t>There is a chance of having some mistake in the report though best effort has been applied to avoid any kind of mistake.</w:t>
      </w:r>
    </w:p>
    <w:p w:rsidR="00B8592C" w:rsidRPr="00B8592C" w:rsidRDefault="00B8592C" w:rsidP="00B8592C">
      <w:pPr>
        <w:jc w:val="both"/>
        <w:rPr>
          <w:rFonts w:ascii="Times New Roman" w:hAnsi="Times New Roman" w:cs="Times New Roman"/>
          <w:b/>
          <w:sz w:val="28"/>
          <w:szCs w:val="28"/>
        </w:rPr>
      </w:pPr>
    </w:p>
    <w:p w:rsidR="00B8592C" w:rsidRPr="00B8592C" w:rsidRDefault="00B8592C" w:rsidP="00B8592C">
      <w:pPr>
        <w:rPr>
          <w:rFonts w:ascii="Times New Roman" w:hAnsi="Times New Roman" w:cs="Times New Roman"/>
          <w:sz w:val="28"/>
          <w:szCs w:val="28"/>
        </w:rPr>
      </w:pPr>
    </w:p>
    <w:p w:rsidR="00B8592C" w:rsidRPr="00B8592C" w:rsidRDefault="00B8592C" w:rsidP="00B8592C">
      <w:pPr>
        <w:rPr>
          <w:rFonts w:ascii="Times New Roman" w:hAnsi="Times New Roman" w:cs="Times New Roman"/>
          <w:sz w:val="28"/>
          <w:szCs w:val="28"/>
        </w:rPr>
      </w:pPr>
    </w:p>
    <w:p w:rsidR="00B8592C" w:rsidRPr="00B8592C" w:rsidRDefault="00B8592C" w:rsidP="00B8592C">
      <w:pPr>
        <w:rPr>
          <w:rFonts w:ascii="Times New Roman" w:hAnsi="Times New Roman" w:cs="Times New Roman"/>
          <w:sz w:val="28"/>
          <w:szCs w:val="28"/>
        </w:rPr>
      </w:pPr>
    </w:p>
    <w:p w:rsidR="00B8592C" w:rsidRPr="00B8592C" w:rsidRDefault="00B8592C" w:rsidP="00B8592C">
      <w:pPr>
        <w:rPr>
          <w:rFonts w:ascii="Times New Roman" w:hAnsi="Times New Roman" w:cs="Times New Roman"/>
          <w:sz w:val="28"/>
          <w:szCs w:val="28"/>
        </w:rPr>
      </w:pPr>
    </w:p>
    <w:p w:rsidR="00B8592C" w:rsidRPr="00B8592C" w:rsidRDefault="00B8592C" w:rsidP="00B8592C">
      <w:pPr>
        <w:rPr>
          <w:rFonts w:ascii="Times New Roman" w:hAnsi="Times New Roman" w:cs="Times New Roman"/>
          <w:sz w:val="28"/>
          <w:szCs w:val="28"/>
        </w:rPr>
      </w:pPr>
    </w:p>
    <w:p w:rsidR="00B8592C" w:rsidRPr="00B8592C" w:rsidRDefault="00B8592C" w:rsidP="00B8592C">
      <w:pPr>
        <w:rPr>
          <w:rFonts w:ascii="Times New Roman" w:hAnsi="Times New Roman" w:cs="Times New Roman"/>
          <w:sz w:val="28"/>
          <w:szCs w:val="28"/>
        </w:rPr>
      </w:pPr>
    </w:p>
    <w:p w:rsidR="00B8592C" w:rsidRPr="00B8592C" w:rsidRDefault="00B8592C" w:rsidP="00B8592C">
      <w:pPr>
        <w:rPr>
          <w:rFonts w:ascii="Times New Roman" w:hAnsi="Times New Roman" w:cs="Times New Roman"/>
          <w:sz w:val="28"/>
          <w:szCs w:val="28"/>
        </w:rPr>
      </w:pPr>
    </w:p>
    <w:p w:rsidR="00B8592C" w:rsidRPr="00B8592C" w:rsidRDefault="00B8592C" w:rsidP="00B8592C">
      <w:pPr>
        <w:rPr>
          <w:rFonts w:ascii="Times New Roman" w:hAnsi="Times New Roman" w:cs="Times New Roman"/>
          <w:sz w:val="28"/>
          <w:szCs w:val="28"/>
        </w:rPr>
      </w:pPr>
    </w:p>
    <w:p w:rsidR="00B8592C" w:rsidRPr="00B8592C" w:rsidRDefault="00B8592C" w:rsidP="00B8592C">
      <w:pPr>
        <w:rPr>
          <w:rFonts w:ascii="Times New Roman" w:hAnsi="Times New Roman" w:cs="Times New Roman"/>
          <w:sz w:val="28"/>
          <w:szCs w:val="28"/>
        </w:rPr>
      </w:pPr>
    </w:p>
    <w:p w:rsidR="00B8592C" w:rsidRPr="00B8592C" w:rsidRDefault="00B8592C" w:rsidP="00B8592C">
      <w:pPr>
        <w:tabs>
          <w:tab w:val="left" w:pos="2687"/>
        </w:tabs>
        <w:rPr>
          <w:rFonts w:ascii="Times New Roman" w:hAnsi="Times New Roman" w:cs="Times New Roman"/>
          <w:sz w:val="28"/>
          <w:szCs w:val="28"/>
        </w:rPr>
      </w:pPr>
      <w:r w:rsidRPr="00B8592C">
        <w:rPr>
          <w:rFonts w:ascii="Times New Roman" w:hAnsi="Times New Roman" w:cs="Times New Roman"/>
          <w:noProof/>
          <w:sz w:val="28"/>
          <w:szCs w:val="28"/>
        </w:rPr>
        <w:pict>
          <v:shape id="_x0000_s1029" type="#_x0000_t98" style="position:absolute;margin-left:17.2pt;margin-top:-94.95pt;width:433.05pt;height:266pt;z-index:251665408" fillcolor="#92cddc [1944]" strokecolor="#92cddc [1944]" strokeweight="1pt">
            <v:fill color2="#daeef3 [664]" angle="-45" focusposition="1" focussize="" focus="-50%" type="gradient"/>
            <v:shadow on="t" type="perspective" color="#205867 [1608]" opacity=".5" offset="1pt" offset2="-3pt"/>
            <o:extrusion v:ext="view" render="wireFrame"/>
            <v:textbox style="mso-next-textbox:#_x0000_s1029">
              <w:txbxContent>
                <w:p w:rsidR="00B8592C" w:rsidRPr="001570CF" w:rsidRDefault="00B8592C" w:rsidP="00B8592C">
                  <w:pPr>
                    <w:jc w:val="center"/>
                  </w:pPr>
                </w:p>
                <w:p w:rsidR="00B8592C" w:rsidRPr="000032AE" w:rsidRDefault="00B8592C" w:rsidP="00B8592C">
                  <w:pPr>
                    <w:jc w:val="center"/>
                    <w:rPr>
                      <w:rFonts w:ascii="Times New Roman" w:hAnsi="Times New Roman" w:cs="Times New Roman"/>
                      <w:b/>
                      <w:color w:val="00B050"/>
                      <w:sz w:val="72"/>
                      <w:szCs w:val="28"/>
                    </w:rPr>
                  </w:pPr>
                  <w:r w:rsidRPr="000032AE">
                    <w:rPr>
                      <w:rFonts w:ascii="Times New Roman" w:hAnsi="Times New Roman" w:cs="Times New Roman"/>
                      <w:b/>
                      <w:color w:val="00B050"/>
                      <w:sz w:val="72"/>
                      <w:szCs w:val="28"/>
                    </w:rPr>
                    <w:t>Chapter –</w:t>
                  </w:r>
                  <w:r>
                    <w:rPr>
                      <w:rFonts w:ascii="Times New Roman" w:hAnsi="Times New Roman" w:cs="Times New Roman"/>
                      <w:b/>
                      <w:color w:val="00B050"/>
                      <w:sz w:val="72"/>
                      <w:szCs w:val="28"/>
                    </w:rPr>
                    <w:t xml:space="preserve"> 02</w:t>
                  </w:r>
                </w:p>
                <w:p w:rsidR="00B8592C" w:rsidRPr="000032AE" w:rsidRDefault="00B8592C" w:rsidP="00B8592C">
                  <w:pPr>
                    <w:jc w:val="center"/>
                    <w:rPr>
                      <w:rFonts w:ascii="Times New Roman" w:hAnsi="Times New Roman" w:cs="Times New Roman"/>
                      <w:b/>
                      <w:color w:val="00B050"/>
                      <w:sz w:val="72"/>
                      <w:szCs w:val="28"/>
                    </w:rPr>
                  </w:pPr>
                  <w:r w:rsidRPr="000032AE">
                    <w:rPr>
                      <w:rFonts w:ascii="Times New Roman" w:hAnsi="Times New Roman" w:cs="Times New Roman"/>
                      <w:b/>
                      <w:color w:val="00B050"/>
                      <w:sz w:val="72"/>
                      <w:szCs w:val="28"/>
                    </w:rPr>
                    <w:t>Green Finance &amp;</w:t>
                  </w:r>
                </w:p>
                <w:p w:rsidR="00B8592C" w:rsidRPr="000032AE" w:rsidRDefault="00B8592C" w:rsidP="00B8592C">
                  <w:pPr>
                    <w:jc w:val="center"/>
                    <w:rPr>
                      <w:rFonts w:ascii="Times New Roman" w:hAnsi="Times New Roman" w:cs="Times New Roman"/>
                      <w:b/>
                      <w:color w:val="00B050"/>
                      <w:sz w:val="72"/>
                      <w:szCs w:val="28"/>
                    </w:rPr>
                  </w:pPr>
                  <w:r w:rsidRPr="000032AE">
                    <w:rPr>
                      <w:rFonts w:ascii="Times New Roman" w:hAnsi="Times New Roman" w:cs="Times New Roman"/>
                      <w:b/>
                      <w:color w:val="00B050"/>
                      <w:sz w:val="72"/>
                      <w:szCs w:val="28"/>
                    </w:rPr>
                    <w:t>Sustainable Banking</w:t>
                  </w:r>
                </w:p>
              </w:txbxContent>
            </v:textbox>
          </v:shape>
        </w:pict>
      </w:r>
      <w:r w:rsidRPr="00B8592C">
        <w:rPr>
          <w:rFonts w:ascii="Times New Roman" w:hAnsi="Times New Roman" w:cs="Times New Roman"/>
          <w:sz w:val="28"/>
          <w:szCs w:val="28"/>
        </w:rPr>
        <w:tab/>
      </w:r>
    </w:p>
    <w:p w:rsidR="00B8592C" w:rsidRPr="00B8592C" w:rsidRDefault="00B8592C" w:rsidP="00B8592C">
      <w:pPr>
        <w:rPr>
          <w:rFonts w:ascii="Times New Roman" w:hAnsi="Times New Roman" w:cs="Times New Roman"/>
          <w:sz w:val="28"/>
          <w:szCs w:val="28"/>
        </w:rPr>
      </w:pPr>
    </w:p>
    <w:p w:rsidR="00B8592C" w:rsidRPr="00B8592C" w:rsidRDefault="00B8592C" w:rsidP="00B8592C">
      <w:pPr>
        <w:rPr>
          <w:rFonts w:ascii="Times New Roman" w:hAnsi="Times New Roman" w:cs="Times New Roman"/>
          <w:sz w:val="28"/>
          <w:szCs w:val="28"/>
        </w:rPr>
      </w:pPr>
    </w:p>
    <w:p w:rsidR="00B8592C" w:rsidRPr="00B8592C" w:rsidRDefault="00B8592C" w:rsidP="00B8592C">
      <w:pPr>
        <w:rPr>
          <w:rFonts w:ascii="Times New Roman" w:hAnsi="Times New Roman" w:cs="Times New Roman"/>
          <w:sz w:val="28"/>
          <w:szCs w:val="28"/>
        </w:rPr>
      </w:pPr>
    </w:p>
    <w:p w:rsidR="00B8592C" w:rsidRPr="00B8592C" w:rsidRDefault="00B8592C" w:rsidP="00B8592C">
      <w:pPr>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b/>
          <w:sz w:val="28"/>
          <w:szCs w:val="28"/>
        </w:rPr>
      </w:pPr>
    </w:p>
    <w:p w:rsidR="00B8592C" w:rsidRPr="00B8592C" w:rsidRDefault="00B8592C" w:rsidP="00B8592C">
      <w:pPr>
        <w:jc w:val="both"/>
        <w:rPr>
          <w:rFonts w:ascii="Times New Roman" w:hAnsi="Times New Roman" w:cs="Times New Roman"/>
          <w:b/>
          <w:sz w:val="28"/>
          <w:szCs w:val="28"/>
        </w:rPr>
      </w:pPr>
      <w:r w:rsidRPr="00B8592C">
        <w:rPr>
          <w:rFonts w:ascii="Times New Roman" w:hAnsi="Times New Roman" w:cs="Times New Roman"/>
          <w:b/>
          <w:sz w:val="28"/>
          <w:szCs w:val="28"/>
        </w:rPr>
        <w:lastRenderedPageBreak/>
        <w:t>3.1. Green Bank and Green Banking</w:t>
      </w:r>
    </w:p>
    <w:p w:rsidR="00B8592C" w:rsidRPr="00B8592C" w:rsidRDefault="00B8592C" w:rsidP="00B8592C">
      <w:pPr>
        <w:jc w:val="both"/>
        <w:rPr>
          <w:rFonts w:ascii="Times New Roman" w:hAnsi="Times New Roman" w:cs="Times New Roman"/>
          <w:sz w:val="24"/>
          <w:szCs w:val="28"/>
        </w:rPr>
      </w:pPr>
      <w:r w:rsidRPr="00B8592C">
        <w:rPr>
          <w:rFonts w:ascii="Times New Roman" w:hAnsi="Times New Roman" w:cs="Times New Roman"/>
          <w:sz w:val="24"/>
          <w:szCs w:val="28"/>
        </w:rPr>
        <w:t>Green bank means an ethical, a socially responsible and a sustainable bank. A green banker is more than a banker, it is not an individual but a unit or a group or a team.</w:t>
      </w:r>
    </w:p>
    <w:p w:rsidR="00B8592C" w:rsidRPr="00B8592C" w:rsidRDefault="00B8592C" w:rsidP="00B8592C">
      <w:pPr>
        <w:jc w:val="both"/>
        <w:rPr>
          <w:rFonts w:ascii="Times New Roman" w:hAnsi="Times New Roman" w:cs="Times New Roman"/>
          <w:b/>
          <w:sz w:val="28"/>
          <w:szCs w:val="28"/>
        </w:rPr>
      </w:pPr>
      <w:r w:rsidRPr="00B8592C">
        <w:rPr>
          <w:rFonts w:ascii="Times New Roman" w:hAnsi="Times New Roman" w:cs="Times New Roman"/>
          <w:sz w:val="24"/>
          <w:szCs w:val="28"/>
        </w:rPr>
        <w:t xml:space="preserve">Green Banking means eco-friendly or environment-friendly banking to stop environment degradation to make this planet more habitable. This comes in many forms. Providing innovative green products: using online banking instead of branch banking, paying bills online instead of mailing them, purchasing green mortgage, opening up of CDs, green credit cards and money market accounts at online banks instead of large multi-branch banks or finding the local bank in your area that is taking the biggest steps to support local green initiatives. Green Banking is also multi-stakeholders endeavor where banks have to work closely with government, NGOs International Financial Institutes (IFIs), International Government Organizations (IGOs), Central Bank, consumers and business communities to reach the goal.  </w:t>
      </w:r>
    </w:p>
    <w:p w:rsidR="00B8592C" w:rsidRPr="00B8592C" w:rsidRDefault="00B8592C" w:rsidP="00B8592C">
      <w:pPr>
        <w:jc w:val="both"/>
        <w:rPr>
          <w:rFonts w:ascii="Times New Roman" w:hAnsi="Times New Roman" w:cs="Times New Roman"/>
          <w:sz w:val="24"/>
          <w:szCs w:val="28"/>
        </w:rPr>
      </w:pPr>
      <w:r w:rsidRPr="00B8592C">
        <w:rPr>
          <w:rFonts w:ascii="Times New Roman" w:hAnsi="Times New Roman" w:cs="Times New Roman"/>
          <w:sz w:val="24"/>
          <w:szCs w:val="28"/>
        </w:rPr>
        <w:t>As a regular of financial sector, the central bank already proved resounding success to implement the concept of green banking in its regular activities. Besides, it also created congenial atmosphere for the banking sector to ensure profound impact of green banking on socio-economic landscape of Bangladesh.</w:t>
      </w:r>
    </w:p>
    <w:p w:rsidR="00B8592C" w:rsidRPr="00B8592C" w:rsidRDefault="00B8592C" w:rsidP="00B8592C">
      <w:pPr>
        <w:jc w:val="both"/>
        <w:rPr>
          <w:rFonts w:ascii="Times New Roman" w:hAnsi="Times New Roman" w:cs="Times New Roman"/>
          <w:sz w:val="24"/>
          <w:szCs w:val="28"/>
        </w:rPr>
      </w:pPr>
      <w:r w:rsidRPr="00B8592C">
        <w:rPr>
          <w:rFonts w:ascii="Times New Roman" w:hAnsi="Times New Roman" w:cs="Times New Roman"/>
          <w:sz w:val="24"/>
          <w:szCs w:val="28"/>
        </w:rPr>
        <w:t>Green or sustainable banking is not limited only to in house green activities, but extends to facilitating green financing. Environmental Risk Management (ERM) guidelines is a part of green banking and ERM is for assessing environmental risk and not intended to squeeze investment; rather it is for sustainable finance.</w:t>
      </w:r>
    </w:p>
    <w:p w:rsidR="00B8592C" w:rsidRPr="00B8592C" w:rsidRDefault="00B8592C" w:rsidP="00B8592C">
      <w:pPr>
        <w:jc w:val="both"/>
        <w:rPr>
          <w:rFonts w:ascii="Times New Roman" w:hAnsi="Times New Roman" w:cs="Times New Roman"/>
          <w:sz w:val="24"/>
          <w:szCs w:val="28"/>
        </w:rPr>
      </w:pPr>
      <w:r w:rsidRPr="00B8592C">
        <w:rPr>
          <w:rFonts w:ascii="Times New Roman" w:hAnsi="Times New Roman" w:cs="Times New Roman"/>
          <w:sz w:val="24"/>
          <w:szCs w:val="28"/>
        </w:rPr>
        <w:t xml:space="preserve">The policy guideline for green banking has been derived on the basis of a green economy, which, in turn, is based on renewable energy (solar, wind, geothermal, marine including wave, bio-gas, and fuel cell), green buildings (green retrofits for energy and water efficiency, residential and commercial assessment, green products and materials, and LEED construction), clean transportation (alternative fuels, public transit, hybrid and electric vehicles, car sharing and carpooling programs), water management (water reclamation, grey water and rainwater system, low-water landscaping, water purification, storm water management), waste management (recycling, municipal solid waste salvage, brown field land remediation, sustainable packaging), land management (organic agriculture, habitat conservation and restoration, urban forestry and parks, reforestation and afforestation and soil stabilization). </w:t>
      </w:r>
    </w:p>
    <w:p w:rsidR="00B8592C" w:rsidRPr="00B8592C" w:rsidRDefault="00B8592C" w:rsidP="00B8592C">
      <w:pPr>
        <w:jc w:val="both"/>
        <w:rPr>
          <w:rFonts w:ascii="Times New Roman" w:hAnsi="Times New Roman" w:cs="Times New Roman"/>
          <w:noProof/>
          <w:sz w:val="24"/>
          <w:szCs w:val="28"/>
        </w:rPr>
      </w:pPr>
      <w:r w:rsidRPr="00B8592C">
        <w:rPr>
          <w:rFonts w:ascii="Times New Roman" w:hAnsi="Times New Roman" w:cs="Times New Roman"/>
          <w:noProof/>
          <w:sz w:val="24"/>
          <w:szCs w:val="28"/>
        </w:rPr>
        <w:t>Green Banking undertakes proactive measures to protect environment and to address climate change challenges while financing along with efficient use of renewable, non-renewable, human and natural resources.</w:t>
      </w:r>
    </w:p>
    <w:p w:rsidR="00B8592C" w:rsidRPr="00B8592C" w:rsidRDefault="00B8592C" w:rsidP="00B8592C">
      <w:pPr>
        <w:jc w:val="both"/>
        <w:rPr>
          <w:rFonts w:ascii="Times New Roman" w:hAnsi="Times New Roman" w:cs="Times New Roman"/>
          <w:noProof/>
          <w:sz w:val="24"/>
          <w:szCs w:val="28"/>
        </w:rPr>
      </w:pPr>
    </w:p>
    <w:p w:rsidR="00B8592C" w:rsidRPr="00B8592C" w:rsidRDefault="00B8592C" w:rsidP="00B8592C">
      <w:pPr>
        <w:rPr>
          <w:rFonts w:ascii="Times New Roman" w:hAnsi="Times New Roman" w:cs="Times New Roman"/>
          <w:b/>
          <w:sz w:val="28"/>
          <w:szCs w:val="28"/>
        </w:rPr>
      </w:pPr>
    </w:p>
    <w:p w:rsidR="00B8592C" w:rsidRPr="00B8592C" w:rsidRDefault="00B8592C" w:rsidP="00B8592C">
      <w:pPr>
        <w:rPr>
          <w:rFonts w:ascii="Times New Roman" w:hAnsi="Times New Roman" w:cs="Times New Roman"/>
          <w:b/>
          <w:sz w:val="28"/>
          <w:szCs w:val="28"/>
        </w:rPr>
      </w:pPr>
      <w:r w:rsidRPr="00B8592C">
        <w:rPr>
          <w:rFonts w:ascii="Times New Roman" w:hAnsi="Times New Roman" w:cs="Times New Roman"/>
          <w:b/>
          <w:sz w:val="28"/>
          <w:szCs w:val="28"/>
        </w:rPr>
        <w:lastRenderedPageBreak/>
        <w:t>3.2. Green Banking Activities</w:t>
      </w:r>
    </w:p>
    <w:p w:rsidR="00B8592C" w:rsidRPr="00B8592C" w:rsidRDefault="00B8592C" w:rsidP="00B8592C">
      <w:pPr>
        <w:jc w:val="both"/>
        <w:rPr>
          <w:rFonts w:ascii="Times New Roman" w:hAnsi="Times New Roman" w:cs="Times New Roman"/>
          <w:sz w:val="24"/>
          <w:szCs w:val="28"/>
        </w:rPr>
      </w:pPr>
      <w:r w:rsidRPr="00B8592C">
        <w:rPr>
          <w:rFonts w:ascii="Times New Roman" w:hAnsi="Times New Roman" w:cs="Times New Roman"/>
          <w:sz w:val="24"/>
          <w:szCs w:val="24"/>
        </w:rPr>
        <w:t xml:space="preserve">Green banking is a component of the global initiative by a group of stakeholders to save the environment. The environment in Bangladesh is rapidly deteriorating. The key areas of environmental degradation are: air pollution; water pollution and scarcity; encroachment of rivers; improper disposal of industrial, medical and house-hold waste; deforestation; loss of open space, and loss of biodiversity. In addition, Bangladesh is one of the most climate-vulnerable countries. In line with global development and response to environmental degradation, the financial sector, as one of the key stakeholders in society, should play its due role. </w:t>
      </w:r>
      <w:r w:rsidRPr="00B8592C">
        <w:rPr>
          <w:rFonts w:ascii="Times New Roman" w:hAnsi="Times New Roman" w:cs="Times New Roman"/>
          <w:sz w:val="24"/>
          <w:szCs w:val="28"/>
        </w:rPr>
        <w:t xml:space="preserve">Green banking activities in this report has been addressed in the following manner: </w:t>
      </w:r>
    </w:p>
    <w:p w:rsidR="00B8592C" w:rsidRPr="00B8592C" w:rsidRDefault="00B8592C" w:rsidP="00B8592C">
      <w:pPr>
        <w:tabs>
          <w:tab w:val="left" w:pos="3555"/>
        </w:tabs>
        <w:jc w:val="center"/>
        <w:rPr>
          <w:rFonts w:ascii="Times New Roman" w:hAnsi="Times New Roman" w:cs="Times New Roman"/>
          <w:b/>
          <w:sz w:val="24"/>
          <w:szCs w:val="24"/>
        </w:rPr>
      </w:pPr>
      <w:r w:rsidRPr="00B8592C">
        <w:rPr>
          <w:rFonts w:ascii="Times New Roman" w:hAnsi="Times New Roman" w:cs="Times New Roman"/>
          <w:b/>
          <w:sz w:val="20"/>
          <w:szCs w:val="24"/>
        </w:rPr>
        <w:t>2.1. Figure: Green Banking Activities:</w:t>
      </w:r>
    </w:p>
    <w:p w:rsidR="00B8592C" w:rsidRPr="00B8592C" w:rsidRDefault="00B8592C" w:rsidP="00B8592C">
      <w:pPr>
        <w:jc w:val="both"/>
        <w:rPr>
          <w:rFonts w:ascii="Times New Roman" w:hAnsi="Times New Roman" w:cs="Vrinda"/>
          <w:sz w:val="24"/>
          <w:szCs w:val="28"/>
          <w:cs/>
          <w:lang w:bidi="bn-BD"/>
        </w:rPr>
      </w:pPr>
      <w:r w:rsidRPr="00B8592C">
        <w:rPr>
          <w:rFonts w:ascii="Times New Roman" w:hAnsi="Times New Roman" w:cs="Times New Roman"/>
          <w:noProof/>
          <w:sz w:val="24"/>
          <w:szCs w:val="28"/>
        </w:rPr>
        <w:drawing>
          <wp:inline distT="0" distB="0" distL="0" distR="0" wp14:anchorId="5B6CEC5C" wp14:editId="7CB45EE2">
            <wp:extent cx="6145619" cy="2312153"/>
            <wp:effectExtent l="0" t="38100" r="0" b="31115"/>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8592C" w:rsidRPr="00B8592C" w:rsidRDefault="00B8592C" w:rsidP="00B8592C">
      <w:pPr>
        <w:jc w:val="center"/>
        <w:rPr>
          <w:rFonts w:ascii="Times New Roman" w:hAnsi="Times New Roman" w:cs="Times New Roman"/>
          <w:b/>
          <w:sz w:val="20"/>
          <w:szCs w:val="24"/>
        </w:rPr>
      </w:pPr>
      <w:r w:rsidRPr="00B8592C">
        <w:rPr>
          <w:rFonts w:ascii="Times New Roman" w:hAnsi="Times New Roman" w:cs="Times New Roman"/>
          <w:b/>
          <w:sz w:val="20"/>
          <w:szCs w:val="24"/>
        </w:rPr>
        <w:t>Source: Bangladesh Bank Annual Report on Green Banking - 2012</w:t>
      </w:r>
    </w:p>
    <w:p w:rsidR="00B8592C" w:rsidRPr="00B8592C" w:rsidRDefault="00B8592C" w:rsidP="00B8592C">
      <w:pPr>
        <w:jc w:val="both"/>
        <w:rPr>
          <w:rFonts w:ascii="Times New Roman" w:hAnsi="Times New Roman" w:cs="Times New Roman"/>
          <w:b/>
          <w:sz w:val="24"/>
          <w:szCs w:val="24"/>
        </w:rPr>
      </w:pPr>
      <w:r w:rsidRPr="00B8592C">
        <w:rPr>
          <w:rFonts w:ascii="Times New Roman" w:hAnsi="Times New Roman" w:cs="Times New Roman"/>
          <w:b/>
          <w:sz w:val="24"/>
          <w:szCs w:val="24"/>
        </w:rPr>
        <w:t xml:space="preserve">3.2.1. BB’s Green Banking Initiatives: </w:t>
      </w:r>
    </w:p>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Green Banking Initiatives of the Bangladesh Bank (BB) have two aspects: In-house green activities and Non-in-house operations. Given below the BB’s Green Banking Initiatives figures:</w:t>
      </w:r>
    </w:p>
    <w:p w:rsidR="00B8592C" w:rsidRPr="00B8592C" w:rsidRDefault="00B8592C" w:rsidP="00B8592C">
      <w:pPr>
        <w:jc w:val="center"/>
        <w:rPr>
          <w:rFonts w:ascii="Times New Roman" w:hAnsi="Times New Roman" w:cs="Vrinda"/>
          <w:sz w:val="24"/>
          <w:szCs w:val="30"/>
          <w:rtl/>
          <w:cs/>
          <w:lang w:bidi="bn-BD"/>
        </w:rPr>
      </w:pPr>
      <w:r w:rsidRPr="00B8592C">
        <w:rPr>
          <w:rFonts w:ascii="Times New Roman" w:hAnsi="Times New Roman" w:cs="Times New Roman"/>
          <w:b/>
          <w:sz w:val="20"/>
        </w:rPr>
        <w:t>2.2.1Figure: BB’s Initiatives</w:t>
      </w:r>
    </w:p>
    <w:p w:rsidR="00B8592C" w:rsidRPr="00B8592C" w:rsidRDefault="00B8592C" w:rsidP="00B8592C">
      <w:pPr>
        <w:jc w:val="center"/>
        <w:rPr>
          <w:rFonts w:ascii="Times New Roman" w:hAnsi="Times New Roman" w:cs="Times New Roman"/>
          <w:b/>
          <w:sz w:val="20"/>
          <w:szCs w:val="24"/>
        </w:rPr>
      </w:pPr>
      <w:r w:rsidRPr="00B8592C">
        <w:rPr>
          <w:rFonts w:ascii="Times New Roman" w:hAnsi="Times New Roman" w:cs="Times New Roman"/>
          <w:noProof/>
          <w:sz w:val="24"/>
          <w:szCs w:val="28"/>
        </w:rPr>
        <w:drawing>
          <wp:inline distT="0" distB="0" distL="0" distR="0" wp14:anchorId="67DEDC62" wp14:editId="6BB98D31">
            <wp:extent cx="6145619" cy="1926709"/>
            <wp:effectExtent l="0" t="19050" r="0" b="54610"/>
            <wp:docPr id="4"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B8592C">
        <w:rPr>
          <w:rFonts w:ascii="Times New Roman" w:hAnsi="Times New Roman" w:cs="Times New Roman"/>
          <w:b/>
          <w:sz w:val="20"/>
          <w:szCs w:val="24"/>
        </w:rPr>
        <w:t>Source: Bangladesh Bank Annual Report on Green Banking – 2012</w:t>
      </w:r>
    </w:p>
    <w:p w:rsidR="00B8592C" w:rsidRPr="00B8592C" w:rsidRDefault="00B8592C" w:rsidP="00B8592C">
      <w:pPr>
        <w:numPr>
          <w:ilvl w:val="0"/>
          <w:numId w:val="6"/>
        </w:numPr>
        <w:contextualSpacing/>
        <w:jc w:val="both"/>
        <w:rPr>
          <w:rFonts w:ascii="Times New Roman" w:hAnsi="Times New Roman" w:cs="Vrinda"/>
          <w:sz w:val="24"/>
          <w:szCs w:val="30"/>
          <w:cs/>
          <w:lang w:bidi="bn-BD"/>
        </w:rPr>
      </w:pPr>
      <w:r w:rsidRPr="00B8592C">
        <w:rPr>
          <w:rFonts w:ascii="Times New Roman" w:hAnsi="Times New Roman" w:cs="Times New Roman"/>
          <w:b/>
          <w:sz w:val="24"/>
          <w:szCs w:val="24"/>
        </w:rPr>
        <w:lastRenderedPageBreak/>
        <w:t xml:space="preserve">BB's In-house </w:t>
      </w:r>
      <w:r w:rsidRPr="00B8592C">
        <w:rPr>
          <w:rFonts w:ascii="Times New Roman" w:hAnsi="Times New Roman" w:cs="Vrinda"/>
          <w:b/>
          <w:sz w:val="24"/>
          <w:lang w:bidi="bn-BD"/>
        </w:rPr>
        <w:t>Activities</w:t>
      </w:r>
      <w:r w:rsidRPr="00B8592C">
        <w:rPr>
          <w:rFonts w:ascii="Times New Roman" w:hAnsi="Times New Roman" w:cs="Times New Roman"/>
          <w:sz w:val="24"/>
          <w:szCs w:val="24"/>
        </w:rPr>
        <w:t>: Bangladesh Bank's in-house green activities include installation of a 8-kilowatt solar power system on its rooftop on March 12, 2012; environmentally harmful incineration of non-re-issuable damaged bank notes is being phased out, resorting instead to shredding; steps for measuring the carbon footprint of BB's internal processes and operations are underway, eventually to set time-bound targets for carbon neutrality/emission reduction. Under the networking program, all the departments of Bangladesh Bank Head Office and its nine branch offices have already been brought under a computer network (LAN/WAN), connecting almost 3,100 PCs.</w:t>
      </w:r>
    </w:p>
    <w:p w:rsidR="00B8592C" w:rsidRPr="00B8592C" w:rsidRDefault="00B8592C" w:rsidP="00B8592C">
      <w:pPr>
        <w:ind w:left="720"/>
        <w:contextualSpacing/>
        <w:jc w:val="both"/>
        <w:rPr>
          <w:rFonts w:ascii="Times New Roman" w:hAnsi="Times New Roman" w:cs="Vrinda"/>
          <w:sz w:val="24"/>
          <w:szCs w:val="30"/>
          <w:lang w:bidi="bn-BD"/>
        </w:rPr>
      </w:pPr>
      <w:r w:rsidRPr="00B8592C">
        <w:rPr>
          <w:rFonts w:ascii="Times New Roman" w:hAnsi="Times New Roman" w:cs="Times New Roman"/>
          <w:sz w:val="24"/>
          <w:szCs w:val="24"/>
        </w:rPr>
        <w:t xml:space="preserve">BB has enhanced the product line under its green banking scheme from 6 to 47 and segregated these products into 10 categories which are: Renewable Energy, Energy Efficiency, Solid Waste Management, Liquid Waste Management, Alternative Energy, Fire Burnt Brick, Non Fire Block Brick, Recycling &amp; Recyclable Product, Green Industry and Miscellaneous. </w:t>
      </w:r>
    </w:p>
    <w:p w:rsidR="00B8592C" w:rsidRPr="00B8592C" w:rsidRDefault="00B8592C" w:rsidP="00B8592C">
      <w:pPr>
        <w:numPr>
          <w:ilvl w:val="0"/>
          <w:numId w:val="6"/>
        </w:numPr>
        <w:contextualSpacing/>
        <w:jc w:val="both"/>
        <w:rPr>
          <w:rFonts w:ascii="Times New Roman" w:hAnsi="Times New Roman" w:cs="Times New Roman"/>
          <w:sz w:val="24"/>
          <w:szCs w:val="28"/>
        </w:rPr>
      </w:pPr>
      <w:r w:rsidRPr="00B8592C">
        <w:rPr>
          <w:rFonts w:ascii="Times New Roman" w:hAnsi="Times New Roman" w:cs="Times New Roman"/>
          <w:b/>
          <w:sz w:val="24"/>
          <w:szCs w:val="24"/>
        </w:rPr>
        <w:t xml:space="preserve">BB's Non-in-house Operations: </w:t>
      </w:r>
      <w:r w:rsidRPr="00B8592C">
        <w:rPr>
          <w:rFonts w:ascii="Times New Roman" w:hAnsi="Times New Roman" w:cs="Times New Roman"/>
          <w:sz w:val="24"/>
        </w:rPr>
        <w:t>Bangladesh Bank is well aware of the environmental degradation situation and has already given directions to all scheduled banks. Commercial banks are now required to ensure necessary measures to protect environmental pollution while financing a new project or providing working capital to the existing enterprises. Banks have been advised to finance in Solar Energy, Bio-gas, ETP and Hybrid Hoffman Kiln (HHK) in brick field under refinance program of BB. A comprehensive guideline on Corporate Social Responsibility (CSR) has been issued where banks have been asked to concentrate hard on linking CSR at their highest corporate level for ingraining environmentally and socially responsible practices and engaging with borrowers in scrutiny of the environmental and social impacts. Banks have been brought under the purview of E-commerce with a view to providing the customers with online-banking facilities covering payments of utility bills, money transfer and transactions in local currency through internet as well. Considering the adverse effects of Climate Change, banks have been advised to be cautious about the adverse impact of natural calamities and encourage the farmers to cultivate salinity-resistant crops in the salty areas, water-resistant crops in the water-logged and flood-prone areas, drought-resistant crops in the drought-prone areas, using surface water instead of underground water for irrigation and also using organic fertilizer, insecticides by natural means instead of using chemical fertilizer and pesticides.</w:t>
      </w:r>
    </w:p>
    <w:p w:rsidR="00B8592C" w:rsidRPr="00B8592C" w:rsidRDefault="00B8592C" w:rsidP="00B8592C">
      <w:pPr>
        <w:jc w:val="both"/>
        <w:rPr>
          <w:rFonts w:ascii="Times New Roman" w:hAnsi="Times New Roman" w:cs="Times New Roman"/>
          <w:szCs w:val="28"/>
        </w:rPr>
      </w:pPr>
      <w:r w:rsidRPr="00B8592C">
        <w:rPr>
          <w:rFonts w:ascii="Times New Roman" w:hAnsi="Times New Roman" w:cs="Times New Roman"/>
          <w:b/>
          <w:sz w:val="24"/>
          <w:szCs w:val="28"/>
        </w:rPr>
        <w:t xml:space="preserve">3.2.2. Bank’s Green Banking Activities: </w:t>
      </w:r>
    </w:p>
    <w:p w:rsidR="00B8592C" w:rsidRPr="00B8592C" w:rsidRDefault="00B8592C" w:rsidP="00B8592C">
      <w:pPr>
        <w:jc w:val="both"/>
        <w:rPr>
          <w:rFonts w:ascii="Times New Roman" w:hAnsi="Times New Roman" w:cs="Times New Roman"/>
          <w:sz w:val="24"/>
          <w:szCs w:val="28"/>
        </w:rPr>
      </w:pPr>
      <w:r w:rsidRPr="00B8592C">
        <w:rPr>
          <w:rFonts w:ascii="Times New Roman" w:hAnsi="Times New Roman" w:cs="Times New Roman"/>
          <w:sz w:val="24"/>
          <w:szCs w:val="28"/>
        </w:rPr>
        <w:t xml:space="preserve">Bank’s green banking activities are policy formulation and implementation, budget allocation and utilization, green banking unit formation, environmental risk rating, green financing, climate risk fund utilization and online banking etc. Bank’s green banking activities have two several aspects: Bank’s in house green activities and Bank’s green activities other than In-house. Given below the figure about Bank’s Activities </w:t>
      </w:r>
    </w:p>
    <w:p w:rsidR="00B8592C" w:rsidRPr="00B8592C" w:rsidRDefault="00B8592C" w:rsidP="00B8592C">
      <w:pPr>
        <w:jc w:val="both"/>
        <w:rPr>
          <w:rFonts w:ascii="Times New Roman" w:hAnsi="Times New Roman" w:cs="Times New Roman"/>
          <w:sz w:val="24"/>
          <w:szCs w:val="28"/>
        </w:rPr>
      </w:pPr>
    </w:p>
    <w:p w:rsidR="00B8592C" w:rsidRPr="00B8592C" w:rsidRDefault="00B8592C" w:rsidP="00B8592C">
      <w:pPr>
        <w:jc w:val="center"/>
        <w:rPr>
          <w:rFonts w:ascii="Times New Roman" w:hAnsi="Times New Roman" w:cs="Times New Roman"/>
          <w:b/>
          <w:sz w:val="24"/>
        </w:rPr>
      </w:pPr>
    </w:p>
    <w:p w:rsidR="00B8592C" w:rsidRPr="00B8592C" w:rsidRDefault="00B8592C" w:rsidP="00B8592C">
      <w:pPr>
        <w:jc w:val="center"/>
        <w:rPr>
          <w:rFonts w:ascii="Times New Roman" w:hAnsi="Times New Roman" w:cs="Times New Roman"/>
          <w:b/>
          <w:sz w:val="24"/>
        </w:rPr>
      </w:pPr>
      <w:r w:rsidRPr="00B8592C">
        <w:rPr>
          <w:rFonts w:ascii="Times New Roman" w:hAnsi="Times New Roman" w:cs="Times New Roman"/>
          <w:noProof/>
          <w:sz w:val="24"/>
          <w:szCs w:val="28"/>
        </w:rPr>
        <w:lastRenderedPageBreak/>
        <w:pict>
          <v:rect id="_x0000_s1039" style="position:absolute;left:0;text-align:left;margin-left:332.15pt;margin-top:19.45pt;width:79.6pt;height:38.55pt;z-index:251675648" fillcolor="#666 [1936]" strokecolor="#666 [1936]" strokeweight="1pt">
            <v:fill color2="#ccc [656]" angle="-45" focusposition="1" focussize="" focus="-50%" type="gradient"/>
            <v:shadow on="t" type="perspective" color="#7f7f7f [1601]" opacity=".5" offset="1pt" offset2="-3pt"/>
            <v:textbox style="mso-next-textbox:#_x0000_s1039">
              <w:txbxContent>
                <w:p w:rsidR="00B8592C" w:rsidRPr="002125F7" w:rsidRDefault="00B8592C" w:rsidP="00B8592C">
                  <w:pPr>
                    <w:jc w:val="center"/>
                    <w:rPr>
                      <w:rFonts w:ascii="Times New Roman" w:hAnsi="Times New Roman" w:cs="Times New Roman"/>
                      <w:sz w:val="24"/>
                    </w:rPr>
                  </w:pPr>
                  <w:r w:rsidRPr="002125F7">
                    <w:rPr>
                      <w:rFonts w:ascii="Times New Roman" w:hAnsi="Times New Roman" w:cs="Times New Roman"/>
                      <w:sz w:val="24"/>
                    </w:rPr>
                    <w:t>Direct and Indirect</w:t>
                  </w:r>
                </w:p>
              </w:txbxContent>
            </v:textbox>
          </v:rect>
        </w:pict>
      </w:r>
      <w:r w:rsidRPr="00B8592C">
        <w:rPr>
          <w:rFonts w:ascii="Times New Roman" w:hAnsi="Times New Roman" w:cs="Times New Roman"/>
          <w:noProof/>
          <w:sz w:val="24"/>
          <w:szCs w:val="28"/>
        </w:rPr>
        <w:pict>
          <v:rect id="_x0000_s1038" style="position:absolute;left:0;text-align:left;margin-left:258pt;margin-top:19.45pt;width:66.75pt;height:38.55pt;z-index:251674624" fillcolor="#666 [1936]" strokecolor="#666 [1936]" strokeweight="1pt">
            <v:fill color2="#ccc [656]" angle="-45" focusposition="1" focussize="" focus="-50%" type="gradient"/>
            <v:shadow on="t" type="perspective" color="#7f7f7f [1601]" opacity=".5" offset="1pt" offset2="-3pt"/>
            <v:textbox style="mso-next-textbox:#_x0000_s1038">
              <w:txbxContent>
                <w:p w:rsidR="00B8592C" w:rsidRPr="002125F7" w:rsidRDefault="00B8592C" w:rsidP="00B8592C">
                  <w:pPr>
                    <w:jc w:val="center"/>
                    <w:rPr>
                      <w:rFonts w:ascii="Times New Roman" w:hAnsi="Times New Roman" w:cs="Times New Roman"/>
                      <w:sz w:val="24"/>
                    </w:rPr>
                  </w:pPr>
                  <w:r w:rsidRPr="002125F7">
                    <w:rPr>
                      <w:rFonts w:ascii="Times New Roman" w:hAnsi="Times New Roman" w:cs="Times New Roman"/>
                      <w:sz w:val="24"/>
                    </w:rPr>
                    <w:t>Green Financing</w:t>
                  </w:r>
                </w:p>
              </w:txbxContent>
            </v:textbox>
          </v:rect>
        </w:pict>
      </w:r>
      <w:r w:rsidRPr="00B8592C">
        <w:rPr>
          <w:rFonts w:ascii="Times New Roman" w:hAnsi="Times New Roman" w:cs="Times New Roman"/>
          <w:noProof/>
          <w:sz w:val="24"/>
          <w:szCs w:val="28"/>
        </w:rPr>
        <w:pict>
          <v:rect id="_x0000_s1037" style="position:absolute;left:0;text-align:left;margin-left:161.6pt;margin-top:19.45pt;width:89.65pt;height:38.55pt;z-index:251673600" fillcolor="#666 [1936]" strokecolor="#666 [1936]" strokeweight="1pt">
            <v:fill color2="#ccc [656]" angle="-45" focusposition="1" focussize="" focus="-50%" type="gradient"/>
            <v:shadow on="t" type="perspective" color="#7f7f7f [1601]" opacity=".5" offset="1pt" offset2="-3pt"/>
            <v:textbox style="mso-next-textbox:#_x0000_s1037">
              <w:txbxContent>
                <w:p w:rsidR="00B8592C" w:rsidRPr="002125F7" w:rsidRDefault="00B8592C" w:rsidP="00B8592C">
                  <w:pPr>
                    <w:jc w:val="center"/>
                    <w:rPr>
                      <w:rFonts w:ascii="Times New Roman" w:hAnsi="Times New Roman" w:cs="Times New Roman"/>
                      <w:sz w:val="24"/>
                    </w:rPr>
                  </w:pPr>
                  <w:r w:rsidRPr="002125F7">
                    <w:rPr>
                      <w:rFonts w:ascii="Times New Roman" w:hAnsi="Times New Roman" w:cs="Times New Roman"/>
                      <w:sz w:val="24"/>
                    </w:rPr>
                    <w:t>Environmental Risk Rating</w:t>
                  </w:r>
                </w:p>
              </w:txbxContent>
            </v:textbox>
          </v:rect>
        </w:pict>
      </w:r>
      <w:r w:rsidRPr="00B8592C">
        <w:rPr>
          <w:rFonts w:ascii="Times New Roman" w:hAnsi="Times New Roman" w:cs="Times New Roman"/>
          <w:b/>
          <w:sz w:val="20"/>
        </w:rPr>
        <w:t>2.2.2. Figure: Bank’s Green Banking Activities</w:t>
      </w:r>
    </w:p>
    <w:p w:rsidR="00B8592C" w:rsidRPr="00B8592C" w:rsidRDefault="00B8592C" w:rsidP="00B8592C">
      <w:pPr>
        <w:jc w:val="both"/>
        <w:rPr>
          <w:rFonts w:ascii="Times New Roman" w:hAnsi="Times New Roman" w:cs="Times New Roman"/>
          <w:sz w:val="24"/>
          <w:szCs w:val="28"/>
        </w:rPr>
      </w:pPr>
      <w:r w:rsidRPr="00B8592C">
        <w:rPr>
          <w:rFonts w:ascii="Times New Roman" w:hAnsi="Times New Roman" w:cs="Times New Roman"/>
          <w:noProof/>
          <w:sz w:val="24"/>
          <w:szCs w:val="28"/>
        </w:rPr>
        <w:pict>
          <v:shape id="_x0000_s1031" type="#_x0000_t32" style="position:absolute;left:0;text-align:left;margin-left:148.2pt;margin-top:8.6pt;width:0;height:213.5pt;z-index:251667456" o:connectortype="straight">
            <v:shadow opacity=".5" offset="-6pt,6pt"/>
            <o:extrusion v:ext="view" on="t" render="wireFrame"/>
          </v:shape>
        </w:pict>
      </w:r>
    </w:p>
    <w:p w:rsidR="00B8592C" w:rsidRPr="00B8592C" w:rsidRDefault="00B8592C" w:rsidP="00B8592C">
      <w:pPr>
        <w:jc w:val="both"/>
        <w:rPr>
          <w:rFonts w:ascii="Times New Roman" w:hAnsi="Times New Roman" w:cs="Times New Roman"/>
          <w:sz w:val="24"/>
          <w:szCs w:val="28"/>
        </w:rPr>
      </w:pPr>
      <w:r w:rsidRPr="00B8592C">
        <w:rPr>
          <w:rFonts w:ascii="Times New Roman" w:hAnsi="Times New Roman" w:cs="Times New Roman"/>
          <w:noProof/>
          <w:sz w:val="24"/>
          <w:szCs w:val="28"/>
        </w:rPr>
        <w:pict>
          <v:rect id="_x0000_s1032" style="position:absolute;left:0;text-align:left;margin-left:161.6pt;margin-top:19.6pt;width:259.9pt;height:23.45pt;z-index:251668480" fillcolor="#d99594 [1941]" strokecolor="#c0504d [3205]" strokeweight="1pt">
            <v:fill color2="#c0504d [3205]" focus="50%" type="gradient"/>
            <v:shadow on="t" type="perspective" color="#622423 [1605]" offset="1pt" offset2="-3pt"/>
            <v:textbox style="mso-next-textbox:#_x0000_s1032">
              <w:txbxContent>
                <w:p w:rsidR="00B8592C" w:rsidRPr="002125F7" w:rsidRDefault="00B8592C" w:rsidP="00B8592C">
                  <w:pPr>
                    <w:jc w:val="center"/>
                    <w:rPr>
                      <w:rFonts w:ascii="Times New Roman" w:hAnsi="Times New Roman" w:cs="Times New Roman"/>
                      <w:sz w:val="24"/>
                    </w:rPr>
                  </w:pPr>
                  <w:r w:rsidRPr="002125F7">
                    <w:rPr>
                      <w:rFonts w:ascii="Times New Roman" w:hAnsi="Times New Roman" w:cs="Times New Roman"/>
                      <w:sz w:val="24"/>
                    </w:rPr>
                    <w:t>CSR Activities for Green Event and Green Project</w:t>
                  </w:r>
                </w:p>
              </w:txbxContent>
            </v:textbox>
          </v:rect>
        </w:pict>
      </w:r>
    </w:p>
    <w:p w:rsidR="00B8592C" w:rsidRPr="00B8592C" w:rsidRDefault="00B8592C" w:rsidP="00B8592C">
      <w:pPr>
        <w:jc w:val="both"/>
        <w:rPr>
          <w:rFonts w:ascii="Times New Roman" w:hAnsi="Times New Roman" w:cs="Times New Roman"/>
          <w:sz w:val="24"/>
          <w:szCs w:val="28"/>
        </w:rPr>
      </w:pPr>
    </w:p>
    <w:p w:rsidR="00B8592C" w:rsidRPr="00B8592C" w:rsidRDefault="00B8592C" w:rsidP="00B8592C">
      <w:pPr>
        <w:jc w:val="both"/>
        <w:rPr>
          <w:rFonts w:ascii="Times New Roman" w:hAnsi="Times New Roman" w:cs="Times New Roman"/>
          <w:sz w:val="24"/>
          <w:szCs w:val="28"/>
        </w:rPr>
      </w:pPr>
      <w:r w:rsidRPr="00B8592C">
        <w:rPr>
          <w:rFonts w:ascii="Times New Roman" w:hAnsi="Times New Roman" w:cs="Times New Roman"/>
          <w:noProof/>
          <w:sz w:val="24"/>
          <w:szCs w:val="28"/>
        </w:rPr>
        <w:pict>
          <v:rect id="_x0000_s1033" style="position:absolute;left:0;text-align:left;margin-left:161.6pt;margin-top:2.2pt;width:259.9pt;height:23.45pt;z-index:251669504" fillcolor="#c2d69b [1942]" strokecolor="#9bbb59 [3206]" strokeweight="1pt">
            <v:fill color2="#9bbb59 [3206]" focus="50%" type="gradient"/>
            <v:shadow on="t" type="perspective" color="#4e6128 [1606]" offset="1pt" offset2="-3pt"/>
            <v:textbox style="mso-next-textbox:#_x0000_s1033">
              <w:txbxContent>
                <w:p w:rsidR="00B8592C" w:rsidRPr="00BF7893" w:rsidRDefault="00B8592C" w:rsidP="00B8592C">
                  <w:pPr>
                    <w:jc w:val="center"/>
                    <w:rPr>
                      <w:rFonts w:ascii="Times New Roman" w:hAnsi="Times New Roman" w:cs="Times New Roman"/>
                    </w:rPr>
                  </w:pPr>
                  <w:r w:rsidRPr="00BF7893">
                    <w:rPr>
                      <w:rFonts w:ascii="Times New Roman" w:hAnsi="Times New Roman" w:cs="Times New Roman"/>
                    </w:rPr>
                    <w:t>Green Marketing</w:t>
                  </w:r>
                </w:p>
              </w:txbxContent>
            </v:textbox>
          </v:rect>
        </w:pict>
      </w:r>
      <w:r w:rsidRPr="00B8592C">
        <w:rPr>
          <w:rFonts w:ascii="Times New Roman" w:hAnsi="Times New Roman" w:cs="Times New Roman"/>
          <w:noProof/>
          <w:sz w:val="24"/>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20.25pt;margin-top:2.2pt;width:127.95pt;height:47.7pt;z-index:251666432" fillcolor="#4f81bd [3204]" strokecolor="#4f81bd [3204]" strokeweight="10pt">
            <v:stroke linestyle="thinThin"/>
            <v:shadow color="#868686"/>
            <o:extrusion v:ext="view" viewpoint="-34.72222mm" viewpointorigin="-.5" skewangle="-45" lightposition="-50000" lightposition2="50000"/>
            <v:textbox style="mso-next-textbox:#_x0000_s1030">
              <w:txbxContent>
                <w:p w:rsidR="00B8592C" w:rsidRPr="00E76AB6" w:rsidRDefault="00B8592C" w:rsidP="00B8592C">
                  <w:pPr>
                    <w:jc w:val="center"/>
                    <w:rPr>
                      <w:rFonts w:ascii="Times New Roman" w:hAnsi="Times New Roman" w:cs="Times New Roman"/>
                      <w:b/>
                      <w:sz w:val="24"/>
                    </w:rPr>
                  </w:pPr>
                  <w:r w:rsidRPr="00E76AB6">
                    <w:rPr>
                      <w:rFonts w:ascii="Times New Roman" w:hAnsi="Times New Roman" w:cs="Times New Roman"/>
                      <w:b/>
                      <w:sz w:val="24"/>
                    </w:rPr>
                    <w:t>Bank’s Activities</w:t>
                  </w:r>
                </w:p>
              </w:txbxContent>
            </v:textbox>
          </v:shape>
        </w:pict>
      </w:r>
    </w:p>
    <w:p w:rsidR="00B8592C" w:rsidRPr="00B8592C" w:rsidRDefault="00B8592C" w:rsidP="00B8592C">
      <w:pPr>
        <w:jc w:val="both"/>
        <w:rPr>
          <w:rFonts w:ascii="Times New Roman" w:hAnsi="Times New Roman" w:cs="Times New Roman"/>
          <w:sz w:val="24"/>
          <w:szCs w:val="28"/>
        </w:rPr>
      </w:pPr>
      <w:r w:rsidRPr="00B8592C">
        <w:rPr>
          <w:rFonts w:ascii="Times New Roman" w:hAnsi="Times New Roman" w:cs="Times New Roman"/>
          <w:noProof/>
          <w:sz w:val="24"/>
          <w:szCs w:val="28"/>
        </w:rPr>
        <w:pict>
          <v:rect id="_x0000_s1034" style="position:absolute;left:0;text-align:left;margin-left:161.6pt;margin-top:11.5pt;width:259.9pt;height:23.45pt;z-index:251670528" fillcolor="#b2a1c7 [1943]" strokecolor="#8064a2 [3207]" strokeweight="1pt">
            <v:fill color2="#8064a2 [3207]" focus="50%" type="gradient"/>
            <v:shadow on="t" type="perspective" color="#3f3151 [1607]" offset="1pt" offset2="-3pt"/>
            <v:textbox style="mso-next-textbox:#_x0000_s1034">
              <w:txbxContent>
                <w:p w:rsidR="00B8592C" w:rsidRPr="002125F7" w:rsidRDefault="00B8592C" w:rsidP="00B8592C">
                  <w:pPr>
                    <w:jc w:val="center"/>
                    <w:rPr>
                      <w:rFonts w:ascii="Times New Roman" w:hAnsi="Times New Roman" w:cs="Times New Roman"/>
                      <w:sz w:val="24"/>
                    </w:rPr>
                  </w:pPr>
                  <w:r w:rsidRPr="002125F7">
                    <w:rPr>
                      <w:rFonts w:ascii="Times New Roman" w:hAnsi="Times New Roman" w:cs="Times New Roman"/>
                      <w:sz w:val="24"/>
                    </w:rPr>
                    <w:t>In-house Green Initiatives/Activities</w:t>
                  </w:r>
                </w:p>
              </w:txbxContent>
            </v:textbox>
          </v:rect>
        </w:pict>
      </w:r>
    </w:p>
    <w:p w:rsidR="00B8592C" w:rsidRPr="00B8592C" w:rsidRDefault="00B8592C" w:rsidP="00B8592C">
      <w:pPr>
        <w:jc w:val="both"/>
        <w:rPr>
          <w:rFonts w:ascii="Times New Roman" w:hAnsi="Times New Roman" w:cs="Times New Roman"/>
          <w:sz w:val="24"/>
          <w:szCs w:val="28"/>
        </w:rPr>
      </w:pPr>
      <w:r w:rsidRPr="00B8592C">
        <w:rPr>
          <w:rFonts w:ascii="Times New Roman" w:hAnsi="Times New Roman" w:cs="Times New Roman"/>
          <w:noProof/>
          <w:sz w:val="24"/>
          <w:szCs w:val="28"/>
        </w:rPr>
        <w:pict>
          <v:rect id="_x0000_s1035" style="position:absolute;left:0;text-align:left;margin-left:161.6pt;margin-top:21.65pt;width:259.9pt;height:23.45pt;z-index:251671552" fillcolor="#92cddc [1944]" strokecolor="#4bacc6 [3208]" strokeweight="1pt">
            <v:fill color2="#4bacc6 [3208]" focus="50%" type="gradient"/>
            <v:shadow on="t" type="perspective" color="#205867 [1608]" offset="1pt" offset2="-3pt"/>
            <v:textbox style="mso-next-textbox:#_x0000_s1035">
              <w:txbxContent>
                <w:p w:rsidR="00B8592C" w:rsidRPr="002125F7" w:rsidRDefault="00B8592C" w:rsidP="00B8592C">
                  <w:pPr>
                    <w:jc w:val="center"/>
                    <w:rPr>
                      <w:rFonts w:ascii="Times New Roman" w:hAnsi="Times New Roman" w:cs="Times New Roman"/>
                      <w:sz w:val="24"/>
                    </w:rPr>
                  </w:pPr>
                  <w:r w:rsidRPr="002125F7">
                    <w:rPr>
                      <w:rFonts w:ascii="Times New Roman" w:hAnsi="Times New Roman" w:cs="Times New Roman"/>
                      <w:sz w:val="24"/>
                    </w:rPr>
                    <w:t>Capacity Building</w:t>
                  </w:r>
                </w:p>
              </w:txbxContent>
            </v:textbox>
          </v:rect>
        </w:pict>
      </w:r>
    </w:p>
    <w:p w:rsidR="00B8592C" w:rsidRPr="00B8592C" w:rsidRDefault="00B8592C" w:rsidP="00B8592C">
      <w:pPr>
        <w:jc w:val="both"/>
        <w:rPr>
          <w:rFonts w:ascii="Times New Roman" w:hAnsi="Times New Roman" w:cs="Times New Roman"/>
          <w:sz w:val="24"/>
          <w:szCs w:val="28"/>
        </w:rPr>
      </w:pPr>
    </w:p>
    <w:p w:rsidR="00B8592C" w:rsidRPr="00B8592C" w:rsidRDefault="00B8592C" w:rsidP="00B8592C">
      <w:pPr>
        <w:jc w:val="both"/>
        <w:rPr>
          <w:rFonts w:ascii="Times New Roman" w:hAnsi="Times New Roman" w:cs="Times New Roman"/>
          <w:sz w:val="24"/>
          <w:szCs w:val="28"/>
        </w:rPr>
      </w:pPr>
      <w:r w:rsidRPr="00B8592C">
        <w:rPr>
          <w:rFonts w:ascii="Times New Roman" w:hAnsi="Times New Roman" w:cs="Times New Roman"/>
          <w:noProof/>
          <w:sz w:val="24"/>
          <w:szCs w:val="28"/>
        </w:rPr>
        <w:pict>
          <v:rect id="_x0000_s1036" style="position:absolute;left:0;text-align:left;margin-left:161.6pt;margin-top:5.9pt;width:259.9pt;height:23.45pt;z-index:251672576" fillcolor="#fabf8f [1945]" strokecolor="#f79646 [3209]" strokeweight="1pt">
            <v:fill color2="#f79646 [3209]" focus="50%" type="gradient"/>
            <v:shadow on="t" type="perspective" color="#974706 [1609]" offset="1pt" offset2="-3pt"/>
            <v:textbox style="mso-next-textbox:#_x0000_s1036">
              <w:txbxContent>
                <w:p w:rsidR="00B8592C" w:rsidRPr="002125F7" w:rsidRDefault="00B8592C" w:rsidP="00B8592C">
                  <w:pPr>
                    <w:jc w:val="center"/>
                    <w:rPr>
                      <w:rFonts w:ascii="Times New Roman" w:hAnsi="Times New Roman" w:cs="Times New Roman"/>
                      <w:sz w:val="24"/>
                    </w:rPr>
                  </w:pPr>
                  <w:r w:rsidRPr="002125F7">
                    <w:rPr>
                      <w:rFonts w:ascii="Times New Roman" w:hAnsi="Times New Roman" w:cs="Times New Roman"/>
                      <w:sz w:val="24"/>
                    </w:rPr>
                    <w:t>Research and Development</w:t>
                  </w:r>
                </w:p>
              </w:txbxContent>
            </v:textbox>
          </v:rect>
        </w:pict>
      </w:r>
    </w:p>
    <w:p w:rsidR="00B8592C" w:rsidRPr="00B8592C" w:rsidRDefault="00B8592C" w:rsidP="00B8592C">
      <w:pPr>
        <w:jc w:val="both"/>
        <w:rPr>
          <w:rFonts w:ascii="Times New Roman" w:hAnsi="Times New Roman" w:cs="Times New Roman"/>
          <w:sz w:val="24"/>
          <w:szCs w:val="28"/>
        </w:rPr>
      </w:pPr>
    </w:p>
    <w:p w:rsidR="00B8592C" w:rsidRPr="00B8592C" w:rsidRDefault="00B8592C" w:rsidP="00B8592C">
      <w:pPr>
        <w:jc w:val="center"/>
        <w:rPr>
          <w:rFonts w:ascii="Times New Roman" w:hAnsi="Times New Roman" w:cs="Times New Roman"/>
          <w:b/>
          <w:sz w:val="20"/>
          <w:szCs w:val="24"/>
        </w:rPr>
      </w:pPr>
      <w:r w:rsidRPr="00B8592C">
        <w:rPr>
          <w:rFonts w:ascii="Times New Roman" w:hAnsi="Times New Roman" w:cs="Times New Roman"/>
          <w:b/>
          <w:sz w:val="20"/>
          <w:szCs w:val="24"/>
        </w:rPr>
        <w:t>Source: Bangladesh Bank Annual Report on Green Banking – 2012</w:t>
      </w:r>
    </w:p>
    <w:p w:rsidR="00B8592C" w:rsidRPr="00B8592C" w:rsidRDefault="00B8592C" w:rsidP="00B8592C">
      <w:pPr>
        <w:numPr>
          <w:ilvl w:val="0"/>
          <w:numId w:val="6"/>
        </w:numPr>
        <w:contextualSpacing/>
        <w:jc w:val="both"/>
        <w:rPr>
          <w:rFonts w:ascii="Times New Roman" w:hAnsi="Times New Roman" w:cs="Times New Roman"/>
          <w:b/>
          <w:sz w:val="24"/>
          <w:szCs w:val="28"/>
        </w:rPr>
      </w:pPr>
      <w:r w:rsidRPr="00B8592C">
        <w:rPr>
          <w:rFonts w:ascii="Times New Roman" w:hAnsi="Times New Roman" w:cs="Times New Roman"/>
          <w:b/>
          <w:sz w:val="24"/>
          <w:szCs w:val="28"/>
        </w:rPr>
        <w:t xml:space="preserve">Bank’s In-house Green Activities: </w:t>
      </w:r>
      <w:r w:rsidRPr="00B8592C">
        <w:rPr>
          <w:rFonts w:ascii="Times New Roman" w:hAnsi="Times New Roman" w:cs="Times New Roman"/>
          <w:sz w:val="24"/>
          <w:szCs w:val="28"/>
        </w:rPr>
        <w:t>Bank’s In house green activities are:</w:t>
      </w:r>
    </w:p>
    <w:p w:rsidR="00B8592C" w:rsidRPr="00B8592C" w:rsidRDefault="00B8592C" w:rsidP="00B8592C">
      <w:pPr>
        <w:ind w:left="720"/>
        <w:contextualSpacing/>
        <w:jc w:val="both"/>
        <w:rPr>
          <w:rFonts w:ascii="Times New Roman" w:hAnsi="Times New Roman" w:cs="Times New Roman"/>
          <w:b/>
          <w:sz w:val="24"/>
          <w:szCs w:val="28"/>
        </w:rPr>
      </w:pPr>
    </w:p>
    <w:p w:rsidR="00B8592C" w:rsidRPr="00B8592C" w:rsidRDefault="00B8592C" w:rsidP="00B8592C">
      <w:pPr>
        <w:numPr>
          <w:ilvl w:val="0"/>
          <w:numId w:val="7"/>
        </w:numPr>
        <w:contextualSpacing/>
        <w:jc w:val="both"/>
        <w:rPr>
          <w:rFonts w:ascii="Times New Roman" w:hAnsi="Times New Roman" w:cs="Times New Roman"/>
          <w:sz w:val="24"/>
          <w:szCs w:val="28"/>
        </w:rPr>
      </w:pPr>
      <w:r w:rsidRPr="00B8592C">
        <w:rPr>
          <w:rFonts w:ascii="Times New Roman" w:hAnsi="Times New Roman" w:cs="Times New Roman"/>
          <w:sz w:val="24"/>
          <w:szCs w:val="28"/>
        </w:rPr>
        <w:t>Common use of table stationeries instead of individual use.</w:t>
      </w:r>
    </w:p>
    <w:p w:rsidR="00B8592C" w:rsidRPr="00B8592C" w:rsidRDefault="00B8592C" w:rsidP="00B8592C">
      <w:pPr>
        <w:numPr>
          <w:ilvl w:val="0"/>
          <w:numId w:val="7"/>
        </w:numPr>
        <w:contextualSpacing/>
        <w:jc w:val="both"/>
        <w:rPr>
          <w:rFonts w:ascii="Times New Roman" w:hAnsi="Times New Roman" w:cs="Times New Roman"/>
          <w:sz w:val="24"/>
          <w:szCs w:val="28"/>
        </w:rPr>
      </w:pPr>
      <w:r w:rsidRPr="00B8592C">
        <w:rPr>
          <w:rFonts w:ascii="Times New Roman" w:hAnsi="Times New Roman" w:cs="Times New Roman"/>
          <w:sz w:val="24"/>
          <w:szCs w:val="28"/>
        </w:rPr>
        <w:t>Use on paper both sides for internal consumption.</w:t>
      </w:r>
    </w:p>
    <w:p w:rsidR="00B8592C" w:rsidRPr="00B8592C" w:rsidRDefault="00B8592C" w:rsidP="00B8592C">
      <w:pPr>
        <w:numPr>
          <w:ilvl w:val="0"/>
          <w:numId w:val="7"/>
        </w:numPr>
        <w:contextualSpacing/>
        <w:jc w:val="both"/>
        <w:rPr>
          <w:rFonts w:ascii="Times New Roman" w:hAnsi="Times New Roman" w:cs="Times New Roman"/>
          <w:sz w:val="24"/>
          <w:szCs w:val="28"/>
        </w:rPr>
      </w:pPr>
      <w:r w:rsidRPr="00B8592C">
        <w:rPr>
          <w:rFonts w:ascii="Times New Roman" w:hAnsi="Times New Roman" w:cs="Times New Roman"/>
          <w:sz w:val="24"/>
          <w:szCs w:val="28"/>
        </w:rPr>
        <w:t>Introduction of E-statement for customers instead of paper statements.</w:t>
      </w:r>
    </w:p>
    <w:p w:rsidR="00B8592C" w:rsidRPr="00B8592C" w:rsidRDefault="00B8592C" w:rsidP="00B8592C">
      <w:pPr>
        <w:numPr>
          <w:ilvl w:val="0"/>
          <w:numId w:val="7"/>
        </w:numPr>
        <w:contextualSpacing/>
        <w:jc w:val="both"/>
        <w:rPr>
          <w:rFonts w:ascii="Times New Roman" w:hAnsi="Times New Roman" w:cs="Times New Roman"/>
          <w:sz w:val="24"/>
          <w:szCs w:val="28"/>
        </w:rPr>
      </w:pPr>
      <w:r w:rsidRPr="00B8592C">
        <w:rPr>
          <w:rFonts w:ascii="Times New Roman" w:hAnsi="Times New Roman" w:cs="Times New Roman"/>
          <w:sz w:val="24"/>
          <w:szCs w:val="28"/>
        </w:rPr>
        <w:t>Use o9f online communication in the best possible manner.</w:t>
      </w:r>
    </w:p>
    <w:p w:rsidR="00B8592C" w:rsidRPr="00B8592C" w:rsidRDefault="00B8592C" w:rsidP="00B8592C">
      <w:pPr>
        <w:numPr>
          <w:ilvl w:val="0"/>
          <w:numId w:val="7"/>
        </w:numPr>
        <w:contextualSpacing/>
        <w:jc w:val="both"/>
        <w:rPr>
          <w:rFonts w:ascii="Times New Roman" w:hAnsi="Times New Roman" w:cs="Times New Roman"/>
          <w:sz w:val="24"/>
          <w:szCs w:val="28"/>
        </w:rPr>
      </w:pPr>
      <w:r w:rsidRPr="00B8592C">
        <w:rPr>
          <w:rFonts w:ascii="Times New Roman" w:hAnsi="Times New Roman" w:cs="Times New Roman"/>
          <w:sz w:val="24"/>
          <w:szCs w:val="28"/>
        </w:rPr>
        <w:t>Using more daylight instead of electric lights and proper ventilation in lieu of using air conditioning.</w:t>
      </w:r>
    </w:p>
    <w:p w:rsidR="00B8592C" w:rsidRPr="00B8592C" w:rsidRDefault="00B8592C" w:rsidP="00B8592C">
      <w:pPr>
        <w:numPr>
          <w:ilvl w:val="0"/>
          <w:numId w:val="7"/>
        </w:numPr>
        <w:contextualSpacing/>
        <w:jc w:val="both"/>
        <w:rPr>
          <w:rFonts w:ascii="Times New Roman" w:hAnsi="Times New Roman" w:cs="Times New Roman"/>
          <w:sz w:val="24"/>
          <w:szCs w:val="28"/>
        </w:rPr>
      </w:pPr>
      <w:r w:rsidRPr="00B8592C">
        <w:rPr>
          <w:rFonts w:ascii="Times New Roman" w:hAnsi="Times New Roman" w:cs="Times New Roman"/>
          <w:sz w:val="24"/>
          <w:szCs w:val="28"/>
        </w:rPr>
        <w:t>Using energy saving bulbs.</w:t>
      </w:r>
    </w:p>
    <w:p w:rsidR="00B8592C" w:rsidRPr="00B8592C" w:rsidRDefault="00B8592C" w:rsidP="00B8592C">
      <w:pPr>
        <w:numPr>
          <w:ilvl w:val="0"/>
          <w:numId w:val="7"/>
        </w:numPr>
        <w:contextualSpacing/>
        <w:jc w:val="both"/>
        <w:rPr>
          <w:rFonts w:ascii="Times New Roman" w:hAnsi="Times New Roman" w:cs="Times New Roman"/>
          <w:sz w:val="24"/>
          <w:szCs w:val="28"/>
        </w:rPr>
      </w:pPr>
      <w:r w:rsidRPr="00B8592C">
        <w:rPr>
          <w:rFonts w:ascii="Times New Roman" w:hAnsi="Times New Roman" w:cs="Times New Roman"/>
          <w:sz w:val="24"/>
          <w:szCs w:val="28"/>
        </w:rPr>
        <w:t>Use of Eco Font for printing light impression on both sides of the paper.</w:t>
      </w:r>
    </w:p>
    <w:p w:rsidR="00B8592C" w:rsidRPr="00B8592C" w:rsidRDefault="00B8592C" w:rsidP="00B8592C">
      <w:pPr>
        <w:numPr>
          <w:ilvl w:val="0"/>
          <w:numId w:val="7"/>
        </w:numPr>
        <w:contextualSpacing/>
        <w:jc w:val="both"/>
        <w:rPr>
          <w:rFonts w:ascii="Times New Roman" w:hAnsi="Times New Roman" w:cs="Times New Roman"/>
          <w:sz w:val="24"/>
          <w:szCs w:val="28"/>
        </w:rPr>
      </w:pPr>
      <w:r w:rsidRPr="00B8592C">
        <w:rPr>
          <w:rFonts w:ascii="Times New Roman" w:hAnsi="Times New Roman" w:cs="Times New Roman"/>
          <w:sz w:val="24"/>
          <w:szCs w:val="28"/>
        </w:rPr>
        <w:t>Video/Audio conference in lieu of physical travel.</w:t>
      </w:r>
    </w:p>
    <w:p w:rsidR="00B8592C" w:rsidRPr="00B8592C" w:rsidRDefault="00B8592C" w:rsidP="00B8592C">
      <w:pPr>
        <w:numPr>
          <w:ilvl w:val="0"/>
          <w:numId w:val="7"/>
        </w:numPr>
        <w:contextualSpacing/>
        <w:jc w:val="both"/>
        <w:rPr>
          <w:rFonts w:ascii="Times New Roman" w:hAnsi="Times New Roman" w:cs="Times New Roman"/>
          <w:sz w:val="24"/>
          <w:szCs w:val="28"/>
        </w:rPr>
      </w:pPr>
      <w:r w:rsidRPr="00B8592C">
        <w:rPr>
          <w:rFonts w:ascii="Times New Roman" w:hAnsi="Times New Roman" w:cs="Times New Roman"/>
          <w:sz w:val="24"/>
          <w:szCs w:val="28"/>
        </w:rPr>
        <w:t>Efficient use of printer cartridges, photocopy toner, office stationary etc.</w:t>
      </w:r>
    </w:p>
    <w:p w:rsidR="00B8592C" w:rsidRPr="00B8592C" w:rsidRDefault="00B8592C" w:rsidP="00B8592C">
      <w:pPr>
        <w:numPr>
          <w:ilvl w:val="0"/>
          <w:numId w:val="7"/>
        </w:numPr>
        <w:contextualSpacing/>
        <w:jc w:val="both"/>
        <w:rPr>
          <w:rFonts w:ascii="Times New Roman" w:hAnsi="Times New Roman" w:cs="Times New Roman"/>
          <w:sz w:val="24"/>
          <w:szCs w:val="28"/>
        </w:rPr>
      </w:pPr>
      <w:r w:rsidRPr="00B8592C">
        <w:rPr>
          <w:rFonts w:ascii="Times New Roman" w:hAnsi="Times New Roman" w:cs="Times New Roman"/>
          <w:sz w:val="24"/>
          <w:szCs w:val="28"/>
        </w:rPr>
        <w:t>Sharing electronic files, voice mail and e-mail instead of paper memos.</w:t>
      </w:r>
    </w:p>
    <w:p w:rsidR="00B8592C" w:rsidRPr="00B8592C" w:rsidRDefault="00B8592C" w:rsidP="00B8592C">
      <w:pPr>
        <w:numPr>
          <w:ilvl w:val="0"/>
          <w:numId w:val="7"/>
        </w:numPr>
        <w:contextualSpacing/>
        <w:jc w:val="both"/>
        <w:rPr>
          <w:rFonts w:ascii="Times New Roman" w:hAnsi="Times New Roman" w:cs="Times New Roman"/>
          <w:sz w:val="24"/>
          <w:szCs w:val="28"/>
        </w:rPr>
      </w:pPr>
      <w:r w:rsidRPr="00B8592C">
        <w:rPr>
          <w:rFonts w:ascii="Times New Roman" w:hAnsi="Times New Roman" w:cs="Times New Roman"/>
          <w:sz w:val="24"/>
          <w:szCs w:val="28"/>
        </w:rPr>
        <w:t>Use of solar energy/ renewable energy sources.</w:t>
      </w:r>
    </w:p>
    <w:p w:rsidR="00B8592C" w:rsidRPr="00B8592C" w:rsidRDefault="00B8592C" w:rsidP="00B8592C">
      <w:pPr>
        <w:numPr>
          <w:ilvl w:val="0"/>
          <w:numId w:val="7"/>
        </w:numPr>
        <w:contextualSpacing/>
        <w:jc w:val="both"/>
        <w:rPr>
          <w:rFonts w:ascii="Times New Roman" w:hAnsi="Times New Roman" w:cs="Times New Roman"/>
          <w:sz w:val="24"/>
          <w:szCs w:val="28"/>
        </w:rPr>
      </w:pPr>
      <w:r w:rsidRPr="00B8592C">
        <w:rPr>
          <w:rFonts w:ascii="Times New Roman" w:hAnsi="Times New Roman" w:cs="Times New Roman"/>
          <w:sz w:val="24"/>
          <w:szCs w:val="28"/>
        </w:rPr>
        <w:t xml:space="preserve">Efficient use of electricity, gas and water.  </w:t>
      </w:r>
    </w:p>
    <w:p w:rsidR="00B8592C" w:rsidRPr="00B8592C" w:rsidRDefault="00B8592C" w:rsidP="00B8592C">
      <w:pPr>
        <w:numPr>
          <w:ilvl w:val="0"/>
          <w:numId w:val="6"/>
        </w:numPr>
        <w:contextualSpacing/>
        <w:jc w:val="both"/>
        <w:rPr>
          <w:rFonts w:ascii="Times New Roman" w:hAnsi="Times New Roman" w:cs="Times New Roman"/>
          <w:sz w:val="24"/>
          <w:szCs w:val="28"/>
        </w:rPr>
      </w:pPr>
      <w:r w:rsidRPr="00B8592C">
        <w:rPr>
          <w:rFonts w:ascii="Times New Roman" w:hAnsi="Times New Roman" w:cs="Times New Roman"/>
          <w:b/>
          <w:sz w:val="24"/>
          <w:szCs w:val="28"/>
        </w:rPr>
        <w:t>Some Green Banking Slogans of Banks:</w:t>
      </w:r>
    </w:p>
    <w:p w:rsidR="00B8592C" w:rsidRPr="00B8592C" w:rsidRDefault="00B8592C" w:rsidP="00B8592C">
      <w:pPr>
        <w:numPr>
          <w:ilvl w:val="0"/>
          <w:numId w:val="8"/>
        </w:numPr>
        <w:contextualSpacing/>
        <w:jc w:val="both"/>
        <w:rPr>
          <w:rFonts w:ascii="Times New Roman" w:hAnsi="Times New Roman" w:cs="Times New Roman"/>
          <w:sz w:val="24"/>
          <w:szCs w:val="28"/>
        </w:rPr>
      </w:pPr>
      <w:r w:rsidRPr="00B8592C">
        <w:rPr>
          <w:rFonts w:ascii="Times New Roman" w:hAnsi="Times New Roman" w:cs="Times New Roman"/>
          <w:sz w:val="24"/>
          <w:szCs w:val="28"/>
        </w:rPr>
        <w:t>Save paper, save trees</w:t>
      </w:r>
    </w:p>
    <w:p w:rsidR="00B8592C" w:rsidRPr="00B8592C" w:rsidRDefault="00B8592C" w:rsidP="00B8592C">
      <w:pPr>
        <w:numPr>
          <w:ilvl w:val="0"/>
          <w:numId w:val="8"/>
        </w:numPr>
        <w:contextualSpacing/>
        <w:jc w:val="both"/>
        <w:rPr>
          <w:rFonts w:ascii="Times New Roman" w:hAnsi="Times New Roman" w:cs="Times New Roman"/>
          <w:sz w:val="24"/>
          <w:szCs w:val="28"/>
        </w:rPr>
      </w:pPr>
      <w:r w:rsidRPr="00B8592C">
        <w:rPr>
          <w:rFonts w:ascii="Times New Roman" w:hAnsi="Times New Roman" w:cs="Times New Roman"/>
          <w:sz w:val="24"/>
          <w:szCs w:val="28"/>
        </w:rPr>
        <w:t>Conserve energy, conserve natural resources</w:t>
      </w:r>
    </w:p>
    <w:p w:rsidR="00B8592C" w:rsidRPr="00B8592C" w:rsidRDefault="00B8592C" w:rsidP="00B8592C">
      <w:pPr>
        <w:numPr>
          <w:ilvl w:val="0"/>
          <w:numId w:val="8"/>
        </w:numPr>
        <w:contextualSpacing/>
        <w:jc w:val="both"/>
        <w:rPr>
          <w:rFonts w:ascii="Times New Roman" w:hAnsi="Times New Roman" w:cs="Times New Roman"/>
          <w:sz w:val="24"/>
          <w:szCs w:val="28"/>
        </w:rPr>
      </w:pPr>
      <w:r w:rsidRPr="00B8592C">
        <w:rPr>
          <w:rFonts w:ascii="Times New Roman" w:hAnsi="Times New Roman" w:cs="Times New Roman"/>
          <w:sz w:val="24"/>
          <w:szCs w:val="28"/>
        </w:rPr>
        <w:t>Pay your bills online</w:t>
      </w:r>
    </w:p>
    <w:p w:rsidR="00B8592C" w:rsidRPr="00B8592C" w:rsidRDefault="00B8592C" w:rsidP="00B8592C">
      <w:pPr>
        <w:numPr>
          <w:ilvl w:val="0"/>
          <w:numId w:val="8"/>
        </w:numPr>
        <w:contextualSpacing/>
        <w:jc w:val="both"/>
        <w:rPr>
          <w:rFonts w:ascii="Times New Roman" w:hAnsi="Times New Roman" w:cs="Times New Roman"/>
          <w:sz w:val="24"/>
          <w:szCs w:val="28"/>
        </w:rPr>
      </w:pPr>
      <w:r w:rsidRPr="00B8592C">
        <w:rPr>
          <w:rFonts w:ascii="Times New Roman" w:hAnsi="Times New Roman" w:cs="Times New Roman"/>
          <w:sz w:val="24"/>
          <w:szCs w:val="28"/>
        </w:rPr>
        <w:t>Turn off the tap when not needed</w:t>
      </w:r>
    </w:p>
    <w:p w:rsidR="00B8592C" w:rsidRPr="00B8592C" w:rsidRDefault="00B8592C" w:rsidP="00B8592C">
      <w:pPr>
        <w:numPr>
          <w:ilvl w:val="0"/>
          <w:numId w:val="8"/>
        </w:numPr>
        <w:contextualSpacing/>
        <w:jc w:val="both"/>
        <w:rPr>
          <w:rFonts w:ascii="Times New Roman" w:hAnsi="Times New Roman" w:cs="Times New Roman"/>
          <w:sz w:val="24"/>
          <w:szCs w:val="28"/>
        </w:rPr>
      </w:pPr>
      <w:r w:rsidRPr="00B8592C">
        <w:rPr>
          <w:rFonts w:ascii="Times New Roman" w:hAnsi="Times New Roman" w:cs="Times New Roman"/>
          <w:sz w:val="24"/>
          <w:szCs w:val="28"/>
        </w:rPr>
        <w:t>Always use a cloth bag</w:t>
      </w:r>
    </w:p>
    <w:p w:rsidR="00B8592C" w:rsidRPr="00B8592C" w:rsidRDefault="00B8592C" w:rsidP="00B8592C">
      <w:pPr>
        <w:numPr>
          <w:ilvl w:val="0"/>
          <w:numId w:val="8"/>
        </w:numPr>
        <w:contextualSpacing/>
        <w:jc w:val="both"/>
        <w:rPr>
          <w:rFonts w:ascii="Times New Roman" w:hAnsi="Times New Roman" w:cs="Times New Roman"/>
          <w:sz w:val="24"/>
          <w:szCs w:val="28"/>
        </w:rPr>
      </w:pPr>
      <w:r w:rsidRPr="00B8592C">
        <w:rPr>
          <w:rFonts w:ascii="Times New Roman" w:hAnsi="Times New Roman" w:cs="Times New Roman"/>
          <w:sz w:val="24"/>
          <w:szCs w:val="28"/>
        </w:rPr>
        <w:t>Reduce, reuse and recycle</w:t>
      </w:r>
    </w:p>
    <w:p w:rsidR="00B8592C" w:rsidRPr="00B8592C" w:rsidRDefault="00B8592C" w:rsidP="00B8592C">
      <w:pPr>
        <w:numPr>
          <w:ilvl w:val="0"/>
          <w:numId w:val="8"/>
        </w:numPr>
        <w:contextualSpacing/>
        <w:jc w:val="both"/>
        <w:rPr>
          <w:rFonts w:ascii="Times New Roman" w:hAnsi="Times New Roman" w:cs="Times New Roman"/>
          <w:sz w:val="24"/>
          <w:szCs w:val="28"/>
        </w:rPr>
      </w:pPr>
      <w:r w:rsidRPr="00B8592C">
        <w:rPr>
          <w:rFonts w:ascii="Times New Roman" w:hAnsi="Times New Roman" w:cs="Times New Roman"/>
          <w:sz w:val="24"/>
          <w:szCs w:val="28"/>
        </w:rPr>
        <w:t>Digitize yourself</w:t>
      </w:r>
    </w:p>
    <w:p w:rsidR="00B8592C" w:rsidRPr="00B8592C" w:rsidRDefault="00B8592C" w:rsidP="00B8592C">
      <w:pPr>
        <w:numPr>
          <w:ilvl w:val="0"/>
          <w:numId w:val="8"/>
        </w:numPr>
        <w:contextualSpacing/>
        <w:jc w:val="both"/>
        <w:rPr>
          <w:rFonts w:ascii="Times New Roman" w:hAnsi="Times New Roman" w:cs="Times New Roman"/>
          <w:sz w:val="24"/>
          <w:szCs w:val="28"/>
        </w:rPr>
      </w:pPr>
      <w:r w:rsidRPr="00B8592C">
        <w:rPr>
          <w:rFonts w:ascii="Times New Roman" w:hAnsi="Times New Roman" w:cs="Times New Roman"/>
          <w:sz w:val="24"/>
          <w:szCs w:val="28"/>
        </w:rPr>
        <w:t xml:space="preserve">Be paperless- kick the habit </w:t>
      </w:r>
    </w:p>
    <w:p w:rsidR="00B8592C" w:rsidRPr="00B8592C" w:rsidRDefault="00B8592C" w:rsidP="00B8592C">
      <w:pPr>
        <w:numPr>
          <w:ilvl w:val="0"/>
          <w:numId w:val="8"/>
        </w:numPr>
        <w:contextualSpacing/>
        <w:jc w:val="both"/>
        <w:rPr>
          <w:rFonts w:ascii="Times New Roman" w:hAnsi="Times New Roman" w:cs="Times New Roman"/>
          <w:sz w:val="24"/>
          <w:szCs w:val="28"/>
        </w:rPr>
      </w:pPr>
      <w:r w:rsidRPr="00B8592C">
        <w:rPr>
          <w:rFonts w:ascii="Times New Roman" w:hAnsi="Times New Roman" w:cs="Times New Roman"/>
          <w:sz w:val="24"/>
          <w:szCs w:val="28"/>
        </w:rPr>
        <w:t>Unplug electronic devices while not in use</w:t>
      </w:r>
    </w:p>
    <w:p w:rsidR="00B8592C" w:rsidRPr="00B8592C" w:rsidRDefault="00B8592C" w:rsidP="00B8592C">
      <w:pPr>
        <w:rPr>
          <w:rFonts w:ascii="Times New Roman" w:hAnsi="Times New Roman" w:cs="Times New Roman"/>
          <w:b/>
          <w:sz w:val="28"/>
          <w:szCs w:val="28"/>
        </w:rPr>
      </w:pPr>
      <w:r w:rsidRPr="00B8592C">
        <w:rPr>
          <w:rFonts w:ascii="Times New Roman" w:hAnsi="Times New Roman" w:cs="Times New Roman"/>
          <w:b/>
          <w:sz w:val="28"/>
          <w:szCs w:val="28"/>
        </w:rPr>
        <w:t>3.3. Green Finance</w:t>
      </w:r>
    </w:p>
    <w:p w:rsidR="00B8592C" w:rsidRPr="00B8592C" w:rsidRDefault="00B8592C" w:rsidP="00B8592C">
      <w:pPr>
        <w:jc w:val="both"/>
        <w:rPr>
          <w:rFonts w:ascii="Times New Roman" w:hAnsi="Times New Roman" w:cs="Times New Roman"/>
          <w:b/>
          <w:color w:val="00B050"/>
          <w:sz w:val="28"/>
          <w:szCs w:val="28"/>
        </w:rPr>
      </w:pPr>
      <w:r w:rsidRPr="00B8592C">
        <w:rPr>
          <w:rFonts w:ascii="Times New Roman" w:hAnsi="Times New Roman" w:cs="Times New Roman"/>
          <w:sz w:val="24"/>
          <w:szCs w:val="28"/>
        </w:rPr>
        <w:lastRenderedPageBreak/>
        <w:t>Green Finance is a broad term that can refer to financial investment following into sustainable development projects and initiatives, environmental products, and policies that encourage the development of a more sustainable economy. Green finance is a phenomenon that combines the world of finance and business with environmentally friendly behavior. It is an arena for many participants, including individual and business consumers, producers, investors, and financial lenders. Green Finance can be expressed differently depending on the participant and it may be led by financial incentives.</w:t>
      </w:r>
    </w:p>
    <w:p w:rsidR="00B8592C" w:rsidRPr="00B8592C" w:rsidRDefault="00B8592C" w:rsidP="00B8592C">
      <w:pPr>
        <w:jc w:val="both"/>
        <w:rPr>
          <w:rFonts w:ascii="Times New Roman" w:hAnsi="Times New Roman" w:cs="Vrinda"/>
          <w:sz w:val="24"/>
          <w:szCs w:val="28"/>
          <w:lang w:bidi="bn-BD"/>
        </w:rPr>
      </w:pPr>
      <w:r w:rsidRPr="00B8592C">
        <w:rPr>
          <w:rFonts w:ascii="Times New Roman" w:hAnsi="Times New Roman" w:cs="Vrinda"/>
          <w:sz w:val="24"/>
          <w:szCs w:val="28"/>
          <w:lang w:bidi="bn-BD"/>
        </w:rPr>
        <w:t>According to Bangladesh Bank Guideline commercial banks undertook an initiative to go green by paying low interest loans to the customers who would like to setup solar equipment’s, ETP, Bio-gas Plant, Hybrid Hoffman Kiln (HHK) etc. Despite the country’s state-owned and private commercial banks and a non-banking financial institution (NBFI) signed an agreement with BB to disburse the environment friendly loan.</w:t>
      </w:r>
    </w:p>
    <w:p w:rsidR="00B8592C" w:rsidRPr="00B8592C" w:rsidRDefault="00B8592C" w:rsidP="00B8592C">
      <w:pPr>
        <w:jc w:val="both"/>
        <w:rPr>
          <w:rFonts w:ascii="Times New Roman" w:hAnsi="Times New Roman" w:cs="Times New Roman"/>
          <w:sz w:val="24"/>
          <w:szCs w:val="28"/>
        </w:rPr>
      </w:pPr>
      <w:r w:rsidRPr="00B8592C">
        <w:rPr>
          <w:rFonts w:ascii="Times New Roman" w:hAnsi="Times New Roman" w:cs="Times New Roman"/>
          <w:sz w:val="24"/>
          <w:szCs w:val="28"/>
        </w:rPr>
        <w:t>Green Finance includes climate finance but is not limited to it. It is also refers to a wider range of other environmental objectives, for example industrial pollution control, water sanitation, or biodiversity protection.</w:t>
      </w:r>
    </w:p>
    <w:p w:rsidR="00B8592C" w:rsidRPr="00B8592C" w:rsidRDefault="00B8592C" w:rsidP="00B8592C">
      <w:pPr>
        <w:spacing w:after="0" w:line="360" w:lineRule="auto"/>
        <w:jc w:val="both"/>
        <w:rPr>
          <w:rFonts w:ascii="Times New Roman" w:hAnsi="Times New Roman" w:cs="Times New Roman"/>
          <w:b/>
          <w:sz w:val="24"/>
          <w:szCs w:val="28"/>
        </w:rPr>
      </w:pPr>
      <w:r w:rsidRPr="00B8592C">
        <w:rPr>
          <w:rFonts w:ascii="Times New Roman" w:hAnsi="Times New Roman" w:cs="Times New Roman"/>
          <w:b/>
          <w:sz w:val="28"/>
          <w:szCs w:val="28"/>
        </w:rPr>
        <w:t>3.4. Activities of Green finance</w:t>
      </w:r>
      <w:r w:rsidRPr="00B8592C">
        <w:rPr>
          <w:rFonts w:ascii="Times New Roman" w:hAnsi="Times New Roman" w:cs="Times New Roman"/>
          <w:b/>
          <w:sz w:val="24"/>
          <w:szCs w:val="28"/>
        </w:rPr>
        <w:t xml:space="preserve">: </w:t>
      </w:r>
    </w:p>
    <w:p w:rsidR="00B8592C" w:rsidRPr="00B8592C" w:rsidRDefault="00B8592C" w:rsidP="00B8592C">
      <w:pPr>
        <w:spacing w:after="0"/>
        <w:jc w:val="both"/>
        <w:rPr>
          <w:rFonts w:ascii="Times New Roman" w:hAnsi="Times New Roman" w:cs="Times New Roman"/>
          <w:sz w:val="24"/>
          <w:szCs w:val="28"/>
        </w:rPr>
      </w:pPr>
      <w:r w:rsidRPr="00B8592C">
        <w:rPr>
          <w:rFonts w:ascii="Times New Roman" w:hAnsi="Times New Roman" w:cs="Times New Roman"/>
          <w:sz w:val="24"/>
          <w:szCs w:val="28"/>
        </w:rPr>
        <w:t>Green finance combines both direct and indirect green finance. Source of Bank’s</w:t>
      </w:r>
      <w:r w:rsidRPr="00B8592C">
        <w:rPr>
          <w:rFonts w:ascii="Times New Roman" w:hAnsi="Times New Roman" w:cs="Vrinda"/>
          <w:sz w:val="24"/>
          <w:szCs w:val="28"/>
          <w:lang w:bidi="bn-BD"/>
        </w:rPr>
        <w:t xml:space="preserve"> direct green finance may be bank’s own fund or Bangladesh Bank’s fund for renewable energy and environment friendly projects. Indirect green finance means financing the project having ETP or </w:t>
      </w:r>
      <w:proofErr w:type="gramStart"/>
      <w:r w:rsidRPr="00B8592C">
        <w:rPr>
          <w:rFonts w:ascii="Times New Roman" w:hAnsi="Times New Roman" w:cs="Vrinda"/>
          <w:sz w:val="24"/>
          <w:szCs w:val="28"/>
          <w:lang w:bidi="bn-BD"/>
        </w:rPr>
        <w:t>alike</w:t>
      </w:r>
      <w:proofErr w:type="gramEnd"/>
      <w:r w:rsidRPr="00B8592C">
        <w:rPr>
          <w:rFonts w:ascii="Times New Roman" w:hAnsi="Times New Roman" w:cs="Vrinda"/>
          <w:sz w:val="24"/>
          <w:szCs w:val="28"/>
          <w:lang w:bidi="bn-BD"/>
        </w:rPr>
        <w:t xml:space="preserve"> system. </w:t>
      </w:r>
    </w:p>
    <w:p w:rsidR="00B8592C" w:rsidRPr="00B8592C" w:rsidRDefault="00B8592C" w:rsidP="00B8592C">
      <w:pPr>
        <w:jc w:val="both"/>
        <w:rPr>
          <w:rFonts w:ascii="Times New Roman" w:eastAsia="Calibri" w:hAnsi="Times New Roman" w:cs="Times New Roman"/>
          <w:b/>
          <w:sz w:val="2"/>
        </w:rPr>
      </w:pPr>
    </w:p>
    <w:p w:rsidR="00B8592C" w:rsidRPr="00B8592C" w:rsidRDefault="00B8592C" w:rsidP="00B8592C">
      <w:pPr>
        <w:jc w:val="center"/>
        <w:rPr>
          <w:rFonts w:ascii="Times New Roman" w:eastAsia="Calibri" w:hAnsi="Times New Roman" w:cs="Times New Roman"/>
          <w:b/>
        </w:rPr>
      </w:pPr>
      <w:r w:rsidRPr="00B8592C">
        <w:rPr>
          <w:rFonts w:ascii="Times New Roman" w:eastAsia="Calibri" w:hAnsi="Times New Roman" w:cs="Times New Roman"/>
          <w:b/>
        </w:rPr>
        <w:t>3.1. Figure: Activities of Green Finance</w:t>
      </w:r>
    </w:p>
    <w:p w:rsidR="00B8592C" w:rsidRPr="00B8592C" w:rsidRDefault="00B8592C" w:rsidP="00B8592C">
      <w:pPr>
        <w:jc w:val="both"/>
        <w:rPr>
          <w:rFonts w:ascii="Times New Roman" w:eastAsia="Calibri" w:hAnsi="Times New Roman" w:cs="Times New Roman"/>
        </w:rPr>
      </w:pPr>
      <w:r w:rsidRPr="00B8592C">
        <w:rPr>
          <w:rFonts w:ascii="Times New Roman" w:hAnsi="Times New Roman" w:cs="Times New Roman"/>
          <w:noProof/>
          <w:sz w:val="24"/>
          <w:szCs w:val="28"/>
        </w:rPr>
        <w:drawing>
          <wp:inline distT="0" distB="0" distL="0" distR="0" wp14:anchorId="1B484DA6" wp14:editId="3FD7A043">
            <wp:extent cx="5734050" cy="3124200"/>
            <wp:effectExtent l="0" t="0" r="0" b="7620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Pr="00B8592C">
        <w:rPr>
          <w:rFonts w:ascii="Times New Roman" w:eastAsia="Calibri" w:hAnsi="Times New Roman" w:cs="Times New Roman"/>
        </w:rPr>
        <w:t>Source: Bangladesh Bank Annual Report on Green Banking – 2012</w:t>
      </w:r>
    </w:p>
    <w:p w:rsidR="00B8592C" w:rsidRPr="00B8592C" w:rsidRDefault="00B8592C" w:rsidP="00B8592C">
      <w:pPr>
        <w:spacing w:line="360" w:lineRule="auto"/>
        <w:jc w:val="both"/>
        <w:rPr>
          <w:rFonts w:ascii="Times New Roman" w:hAnsi="Times New Roman" w:cs="Times New Roman"/>
          <w:szCs w:val="28"/>
          <w:lang w:bidi="bn-BD"/>
        </w:rPr>
      </w:pPr>
      <w:r w:rsidRPr="00B8592C">
        <w:rPr>
          <w:rFonts w:ascii="Times New Roman" w:hAnsi="Times New Roman" w:cs="Times New Roman"/>
          <w:b/>
          <w:sz w:val="24"/>
          <w:szCs w:val="28"/>
          <w:lang w:bidi="bn-BD"/>
        </w:rPr>
        <w:t xml:space="preserve">3.4.1. Direct Green Finance: </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sz w:val="24"/>
          <w:szCs w:val="28"/>
          <w:lang w:bidi="bn-BD"/>
        </w:rPr>
        <w:lastRenderedPageBreak/>
        <w:t>Direct finance is may be its bank’s own fund or Bangladesh Bank’s fund for renewable energy and environment friendly projects. Direct green finance is installation of ETP, Bio-gas Plant, Solar panel, Bio-fertilizer plant or others. Given below some discussion about these projects:</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b/>
          <w:sz w:val="24"/>
          <w:szCs w:val="28"/>
          <w:lang w:bidi="bn-BD"/>
        </w:rPr>
        <w:t>Installation of ETP:</w:t>
      </w:r>
      <w:r w:rsidRPr="00B8592C">
        <w:rPr>
          <w:rFonts w:ascii="Times New Roman" w:hAnsi="Times New Roman" w:cs="Vrinda"/>
          <w:sz w:val="24"/>
          <w:szCs w:val="28"/>
          <w:lang w:bidi="bn-BD"/>
        </w:rPr>
        <w:t xml:space="preserve"> Effluent treatment plants are essential to treat waste discharged from residential units, various industries or manufacturing units. Apart from treatment plants for residential units, different types of effluent treatment plants are required for various industries as they produce by products or polluted wastes which cannot be directly discharged in the nature. Where the effluent treatment plant must be installed? Given below the some list of industries where effluent treatment plants are essential:</w:t>
      </w:r>
    </w:p>
    <w:p w:rsidR="00B8592C" w:rsidRPr="00B8592C" w:rsidRDefault="00B8592C" w:rsidP="00B8592C">
      <w:pPr>
        <w:numPr>
          <w:ilvl w:val="0"/>
          <w:numId w:val="9"/>
        </w:numPr>
        <w:spacing w:line="360" w:lineRule="auto"/>
        <w:contextualSpacing/>
        <w:jc w:val="both"/>
        <w:rPr>
          <w:rFonts w:ascii="Times New Roman" w:hAnsi="Times New Roman" w:cs="Vrinda"/>
          <w:sz w:val="24"/>
          <w:szCs w:val="28"/>
          <w:lang w:bidi="bn-BD"/>
        </w:rPr>
      </w:pPr>
      <w:r w:rsidRPr="00B8592C">
        <w:rPr>
          <w:rFonts w:ascii="Times New Roman" w:hAnsi="Times New Roman" w:cs="Vrinda"/>
          <w:sz w:val="24"/>
          <w:szCs w:val="28"/>
          <w:lang w:bidi="bn-BD"/>
        </w:rPr>
        <w:t>Food Industry</w:t>
      </w:r>
    </w:p>
    <w:p w:rsidR="00B8592C" w:rsidRPr="00B8592C" w:rsidRDefault="00B8592C" w:rsidP="00B8592C">
      <w:pPr>
        <w:numPr>
          <w:ilvl w:val="0"/>
          <w:numId w:val="9"/>
        </w:numPr>
        <w:spacing w:line="360" w:lineRule="auto"/>
        <w:contextualSpacing/>
        <w:jc w:val="both"/>
        <w:rPr>
          <w:rFonts w:ascii="Times New Roman" w:hAnsi="Times New Roman" w:cs="Vrinda"/>
          <w:sz w:val="24"/>
          <w:szCs w:val="28"/>
          <w:lang w:bidi="bn-BD"/>
        </w:rPr>
      </w:pPr>
      <w:r w:rsidRPr="00B8592C">
        <w:rPr>
          <w:rFonts w:ascii="Times New Roman" w:hAnsi="Times New Roman" w:cs="Vrinda"/>
          <w:sz w:val="24"/>
          <w:szCs w:val="28"/>
          <w:lang w:bidi="bn-BD"/>
        </w:rPr>
        <w:t>Pharmaceuticals Industry</w:t>
      </w:r>
    </w:p>
    <w:p w:rsidR="00B8592C" w:rsidRPr="00B8592C" w:rsidRDefault="00B8592C" w:rsidP="00B8592C">
      <w:pPr>
        <w:numPr>
          <w:ilvl w:val="0"/>
          <w:numId w:val="9"/>
        </w:numPr>
        <w:spacing w:line="360" w:lineRule="auto"/>
        <w:contextualSpacing/>
        <w:jc w:val="both"/>
        <w:rPr>
          <w:rFonts w:ascii="Times New Roman" w:hAnsi="Times New Roman" w:cs="Vrinda"/>
          <w:sz w:val="24"/>
          <w:szCs w:val="28"/>
          <w:lang w:bidi="bn-BD"/>
        </w:rPr>
      </w:pPr>
      <w:r w:rsidRPr="00B8592C">
        <w:rPr>
          <w:rFonts w:ascii="Times New Roman" w:hAnsi="Times New Roman" w:cs="Vrinda"/>
          <w:sz w:val="24"/>
          <w:szCs w:val="28"/>
          <w:lang w:bidi="bn-BD"/>
        </w:rPr>
        <w:t>Dairy Industry</w:t>
      </w:r>
    </w:p>
    <w:p w:rsidR="00B8592C" w:rsidRPr="00B8592C" w:rsidRDefault="00B8592C" w:rsidP="00B8592C">
      <w:pPr>
        <w:numPr>
          <w:ilvl w:val="0"/>
          <w:numId w:val="9"/>
        </w:numPr>
        <w:spacing w:line="360" w:lineRule="auto"/>
        <w:contextualSpacing/>
        <w:jc w:val="both"/>
        <w:rPr>
          <w:rFonts w:ascii="Times New Roman" w:hAnsi="Times New Roman" w:cs="Vrinda"/>
          <w:sz w:val="24"/>
          <w:szCs w:val="28"/>
          <w:lang w:bidi="bn-BD"/>
        </w:rPr>
      </w:pPr>
      <w:r w:rsidRPr="00B8592C">
        <w:rPr>
          <w:rFonts w:ascii="Times New Roman" w:hAnsi="Times New Roman" w:cs="Vrinda"/>
          <w:sz w:val="24"/>
          <w:szCs w:val="28"/>
          <w:lang w:bidi="bn-BD"/>
        </w:rPr>
        <w:t>Textile and Dye Industry</w:t>
      </w:r>
    </w:p>
    <w:p w:rsidR="00B8592C" w:rsidRPr="00B8592C" w:rsidRDefault="00B8592C" w:rsidP="00B8592C">
      <w:pPr>
        <w:numPr>
          <w:ilvl w:val="0"/>
          <w:numId w:val="9"/>
        </w:numPr>
        <w:spacing w:line="360" w:lineRule="auto"/>
        <w:contextualSpacing/>
        <w:jc w:val="both"/>
        <w:rPr>
          <w:rFonts w:ascii="Times New Roman" w:hAnsi="Times New Roman" w:cs="Vrinda"/>
          <w:sz w:val="24"/>
          <w:szCs w:val="28"/>
          <w:lang w:bidi="bn-BD"/>
        </w:rPr>
      </w:pPr>
      <w:r w:rsidRPr="00B8592C">
        <w:rPr>
          <w:rFonts w:ascii="Times New Roman" w:hAnsi="Times New Roman" w:cs="Vrinda"/>
          <w:sz w:val="24"/>
          <w:szCs w:val="28"/>
          <w:lang w:bidi="bn-BD"/>
        </w:rPr>
        <w:t>Chemical/ Paint manufacturing units.</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sz w:val="24"/>
          <w:szCs w:val="28"/>
          <w:lang w:bidi="bn-BD"/>
        </w:rPr>
        <w:t>Many such Industries need effluent treatment plants to purify the waste water before it gets discharged.</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b/>
          <w:sz w:val="24"/>
          <w:szCs w:val="28"/>
          <w:lang w:bidi="bn-BD"/>
        </w:rPr>
        <w:t xml:space="preserve">Bio-gas Plant: </w:t>
      </w:r>
      <w:r w:rsidRPr="00B8592C">
        <w:rPr>
          <w:rFonts w:ascii="Times New Roman" w:hAnsi="Times New Roman" w:cs="Vrinda"/>
          <w:sz w:val="24"/>
          <w:szCs w:val="28"/>
          <w:lang w:bidi="bn-BD"/>
        </w:rPr>
        <w:t>A biogas plant is an anaerobic digester that produces biogas from animal wastes or energy crops. Energy crops are cheap crops grown for the purpose of biofuels, rather than food. Biofuels are liquid, gaseous, or solid fuel made from live or recently dead organic material known as biomass, as opposed to fossil fuels, which are composed of ancient biological materials. Biogas is a type of biofuel created via anaerobic, or oxygen free, digestion of organic matter by bacteria. A biogas plant is composed of a digester and a gas holder.</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b/>
          <w:sz w:val="24"/>
          <w:szCs w:val="28"/>
          <w:lang w:bidi="bn-BD"/>
        </w:rPr>
        <w:t xml:space="preserve">Solar panel: </w:t>
      </w:r>
      <w:r w:rsidRPr="00B8592C">
        <w:rPr>
          <w:rFonts w:ascii="Times New Roman" w:hAnsi="Times New Roman" w:cs="Vrinda"/>
          <w:sz w:val="24"/>
          <w:szCs w:val="28"/>
          <w:lang w:bidi="bn-BD"/>
        </w:rPr>
        <w:t>Solar energy begins with the sun. Solar panels are used to convert light from the sun, which is composed of particles of energy called photons, into electricity that can be used to power electrical loads. Solar panels can be used for a wide variety of applications including remote power systems for cabins, telecommunications equipment, remote sensing, and of course for the production of electricity by residential and commercial solar electric system.</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b/>
          <w:sz w:val="24"/>
          <w:szCs w:val="28"/>
          <w:lang w:bidi="bn-BD"/>
        </w:rPr>
        <w:lastRenderedPageBreak/>
        <w:t xml:space="preserve">Bio-fertilizer plant: </w:t>
      </w:r>
      <w:r w:rsidRPr="00B8592C">
        <w:rPr>
          <w:rFonts w:ascii="Times New Roman" w:hAnsi="Times New Roman" w:cs="Vrinda"/>
          <w:sz w:val="24"/>
          <w:szCs w:val="28"/>
          <w:lang w:bidi="bn-BD"/>
        </w:rPr>
        <w:t>A bio-fertilizer is a substance which contains living microorganisms which, when applied to seeds, plant surfaces, or soil, colonizes the rhino sphere or the interior of the plant and promotes growth by increasing the supply or availability of primary nutrients to the host plant.</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b/>
          <w:sz w:val="24"/>
          <w:szCs w:val="28"/>
          <w:lang w:bidi="bn-BD"/>
        </w:rPr>
        <w:t xml:space="preserve">Hybrid Hoffman Kiln (HHK): </w:t>
      </w:r>
      <w:r w:rsidRPr="00B8592C">
        <w:rPr>
          <w:rFonts w:ascii="Times New Roman" w:hAnsi="Times New Roman" w:cs="Vrinda"/>
          <w:sz w:val="24"/>
          <w:szCs w:val="28"/>
          <w:lang w:bidi="bn-BD"/>
        </w:rPr>
        <w:t>The Hoffman Kiln is a series of batch process kilns. Hoffman Kilns are the most common kiln used in production of bricks and some other ceramic products. Patented by German Friedrich Hoffman for brick making in 1858, it was later used for time burning, and was known as Hoffman continuous kiln.</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sz w:val="24"/>
          <w:szCs w:val="28"/>
          <w:lang w:bidi="bn-BD"/>
        </w:rPr>
        <w:t>So these are some discussion about direct green finance.</w:t>
      </w:r>
    </w:p>
    <w:p w:rsidR="00B8592C" w:rsidRPr="00B8592C" w:rsidRDefault="00B8592C" w:rsidP="00B8592C">
      <w:pPr>
        <w:spacing w:line="360" w:lineRule="auto"/>
        <w:jc w:val="both"/>
        <w:rPr>
          <w:rFonts w:ascii="Times New Roman" w:hAnsi="Times New Roman" w:cs="Times New Roman"/>
          <w:b/>
          <w:sz w:val="24"/>
          <w:szCs w:val="28"/>
          <w:lang w:bidi="bn-BD"/>
        </w:rPr>
      </w:pPr>
      <w:r w:rsidRPr="00B8592C">
        <w:rPr>
          <w:rFonts w:ascii="Times New Roman" w:hAnsi="Times New Roman" w:cs="Times New Roman"/>
          <w:b/>
          <w:sz w:val="24"/>
          <w:szCs w:val="28"/>
          <w:lang w:bidi="bn-BD"/>
        </w:rPr>
        <w:t>3.4.2. Indirect Green Finance:</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sz w:val="24"/>
          <w:szCs w:val="28"/>
          <w:lang w:bidi="bn-BD"/>
        </w:rPr>
        <w:t xml:space="preserve">Indirect green finance means financing the project having ETP or </w:t>
      </w:r>
      <w:proofErr w:type="gramStart"/>
      <w:r w:rsidRPr="00B8592C">
        <w:rPr>
          <w:rFonts w:ascii="Times New Roman" w:hAnsi="Times New Roman" w:cs="Vrinda"/>
          <w:sz w:val="24"/>
          <w:szCs w:val="28"/>
          <w:lang w:bidi="bn-BD"/>
        </w:rPr>
        <w:t>alike</w:t>
      </w:r>
      <w:proofErr w:type="gramEnd"/>
      <w:r w:rsidRPr="00B8592C">
        <w:rPr>
          <w:rFonts w:ascii="Times New Roman" w:hAnsi="Times New Roman" w:cs="Vrinda"/>
          <w:sz w:val="24"/>
          <w:szCs w:val="28"/>
          <w:lang w:bidi="bn-BD"/>
        </w:rPr>
        <w:t xml:space="preserve"> system, or which projects are financing by having ETP is known as indirect green Finance. The Projects are Textile factory, Effluent treatment plant and Insight of the factory.</w:t>
      </w:r>
    </w:p>
    <w:p w:rsidR="00B8592C" w:rsidRPr="00B8592C" w:rsidRDefault="00B8592C" w:rsidP="00B8592C">
      <w:pPr>
        <w:tabs>
          <w:tab w:val="left" w:pos="2790"/>
        </w:tabs>
        <w:jc w:val="both"/>
        <w:rPr>
          <w:rFonts w:ascii="Times New Roman" w:hAnsi="Times New Roman" w:cs="Times New Roman"/>
          <w:sz w:val="24"/>
          <w:szCs w:val="24"/>
        </w:rPr>
      </w:pPr>
      <w:r w:rsidRPr="00B8592C">
        <w:rPr>
          <w:rFonts w:ascii="Times New Roman" w:hAnsi="Times New Roman" w:cs="Times New Roman"/>
          <w:b/>
          <w:sz w:val="28"/>
          <w:szCs w:val="24"/>
        </w:rPr>
        <w:t>3.5. Green Finance Projects:</w:t>
      </w:r>
    </w:p>
    <w:p w:rsidR="00B8592C" w:rsidRPr="00B8592C" w:rsidRDefault="00B8592C" w:rsidP="00B8592C">
      <w:pPr>
        <w:jc w:val="both"/>
        <w:rPr>
          <w:rFonts w:ascii="Times New Roman" w:hAnsi="Times New Roman" w:cs="Times New Roman"/>
          <w:b/>
          <w:sz w:val="28"/>
          <w:szCs w:val="24"/>
        </w:rPr>
      </w:pPr>
      <w:r w:rsidRPr="00B8592C">
        <w:rPr>
          <w:rFonts w:ascii="Times New Roman" w:hAnsi="Times New Roman" w:cs="Times New Roman"/>
          <w:sz w:val="24"/>
          <w:szCs w:val="24"/>
        </w:rPr>
        <w:t>Banks have disbursed in different green products or events such that: Effluent Treatment Plant (ETP), Projects having ETP, Bio–gas plant, solar or renewable energy plant, Bio-fertilizer plant, HHK and etc.  In 2012 Banks have disbursed in total green finance taka 270921.24 million; in 2013 Banks have disbursed in total green finance taka 348125.6 million and in 2014Banks have disbursed in total green finance taka 190263.03 million.</w:t>
      </w:r>
    </w:p>
    <w:p w:rsidR="00B8592C" w:rsidRPr="00B8592C" w:rsidRDefault="00B8592C" w:rsidP="00B8592C">
      <w:pPr>
        <w:spacing w:after="0"/>
        <w:jc w:val="center"/>
        <w:rPr>
          <w:rFonts w:ascii="Times New Roman" w:hAnsi="Times New Roman" w:cs="Times New Roman"/>
          <w:b/>
        </w:rPr>
      </w:pPr>
      <w:r w:rsidRPr="00B8592C">
        <w:rPr>
          <w:rFonts w:ascii="Times New Roman" w:hAnsi="Times New Roman" w:cs="Times New Roman"/>
          <w:b/>
        </w:rPr>
        <w:t>Table - 01: Investment in Green Finance Projects/ Events</w:t>
      </w:r>
    </w:p>
    <w:tbl>
      <w:tblPr>
        <w:tblStyle w:val="MediumGrid3-Accent11"/>
        <w:tblW w:w="10277" w:type="dxa"/>
        <w:tblLook w:val="04A0" w:firstRow="1" w:lastRow="0" w:firstColumn="1" w:lastColumn="0" w:noHBand="0" w:noVBand="1"/>
      </w:tblPr>
      <w:tblGrid>
        <w:gridCol w:w="2628"/>
        <w:gridCol w:w="1260"/>
        <w:gridCol w:w="1260"/>
        <w:gridCol w:w="1350"/>
        <w:gridCol w:w="1170"/>
        <w:gridCol w:w="1170"/>
        <w:gridCol w:w="1439"/>
      </w:tblGrid>
      <w:tr w:rsidR="00B8592C" w:rsidRPr="00B8592C" w:rsidTr="00B8592C">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62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Green projects/ Events</w:t>
            </w:r>
          </w:p>
        </w:tc>
        <w:tc>
          <w:tcPr>
            <w:tcW w:w="126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2012</w:t>
            </w:r>
          </w:p>
        </w:tc>
        <w:tc>
          <w:tcPr>
            <w:tcW w:w="126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2013</w:t>
            </w:r>
          </w:p>
        </w:tc>
        <w:tc>
          <w:tcPr>
            <w:tcW w:w="135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2014</w:t>
            </w:r>
          </w:p>
        </w:tc>
        <w:tc>
          <w:tcPr>
            <w:tcW w:w="117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2015</w:t>
            </w:r>
          </w:p>
        </w:tc>
        <w:tc>
          <w:tcPr>
            <w:tcW w:w="117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2016</w:t>
            </w:r>
          </w:p>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c>
          <w:tcPr>
            <w:tcW w:w="1439"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2017</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628" w:type="dxa"/>
          </w:tcPr>
          <w:p w:rsidR="00B8592C" w:rsidRPr="00B8592C" w:rsidRDefault="00B8592C" w:rsidP="00B8592C">
            <w:pPr>
              <w:jc w:val="both"/>
              <w:rPr>
                <w:rFonts w:ascii="Times New Roman" w:hAnsi="Times New Roman" w:cs="Times New Roman"/>
                <w:szCs w:val="24"/>
              </w:rPr>
            </w:pPr>
            <w:r w:rsidRPr="00B8592C">
              <w:rPr>
                <w:rFonts w:ascii="Times New Roman" w:hAnsi="Times New Roman" w:cs="Times New Roman"/>
                <w:szCs w:val="24"/>
              </w:rPr>
              <w:t>ETP</w:t>
            </w:r>
          </w:p>
        </w:tc>
        <w:tc>
          <w:tcPr>
            <w:tcW w:w="126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1356.52</w:t>
            </w:r>
          </w:p>
        </w:tc>
        <w:tc>
          <w:tcPr>
            <w:tcW w:w="126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3663.18</w:t>
            </w:r>
          </w:p>
        </w:tc>
        <w:tc>
          <w:tcPr>
            <w:tcW w:w="13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1403.3</w:t>
            </w:r>
          </w:p>
        </w:tc>
        <w:tc>
          <w:tcPr>
            <w:tcW w:w="117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39"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8592C" w:rsidRPr="00B8592C" w:rsidTr="00B8592C">
        <w:trPr>
          <w:trHeight w:val="290"/>
        </w:trPr>
        <w:tc>
          <w:tcPr>
            <w:cnfStyle w:val="001000000000" w:firstRow="0" w:lastRow="0" w:firstColumn="1" w:lastColumn="0" w:oddVBand="0" w:evenVBand="0" w:oddHBand="0" w:evenHBand="0" w:firstRowFirstColumn="0" w:firstRowLastColumn="0" w:lastRowFirstColumn="0" w:lastRowLastColumn="0"/>
            <w:tcW w:w="2628" w:type="dxa"/>
          </w:tcPr>
          <w:p w:rsidR="00B8592C" w:rsidRPr="00B8592C" w:rsidRDefault="00B8592C" w:rsidP="00B8592C">
            <w:pPr>
              <w:jc w:val="both"/>
              <w:rPr>
                <w:rFonts w:ascii="Times New Roman" w:hAnsi="Times New Roman" w:cs="Times New Roman"/>
                <w:szCs w:val="24"/>
              </w:rPr>
            </w:pPr>
            <w:r w:rsidRPr="00B8592C">
              <w:rPr>
                <w:rFonts w:ascii="Times New Roman" w:hAnsi="Times New Roman" w:cs="Times New Roman"/>
                <w:szCs w:val="24"/>
              </w:rPr>
              <w:t>Projects having ETP</w:t>
            </w:r>
          </w:p>
        </w:tc>
        <w:tc>
          <w:tcPr>
            <w:tcW w:w="126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259100.05</w:t>
            </w:r>
          </w:p>
        </w:tc>
        <w:tc>
          <w:tcPr>
            <w:tcW w:w="126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318442.86</w:t>
            </w:r>
          </w:p>
        </w:tc>
        <w:tc>
          <w:tcPr>
            <w:tcW w:w="135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175140.34</w:t>
            </w:r>
          </w:p>
        </w:tc>
        <w:tc>
          <w:tcPr>
            <w:tcW w:w="117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39"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628" w:type="dxa"/>
          </w:tcPr>
          <w:p w:rsidR="00B8592C" w:rsidRPr="00B8592C" w:rsidRDefault="00B8592C" w:rsidP="00B8592C">
            <w:pPr>
              <w:jc w:val="both"/>
              <w:rPr>
                <w:rFonts w:ascii="Times New Roman" w:hAnsi="Times New Roman" w:cs="Times New Roman"/>
                <w:szCs w:val="24"/>
              </w:rPr>
            </w:pPr>
            <w:r w:rsidRPr="00B8592C">
              <w:rPr>
                <w:rFonts w:ascii="Times New Roman" w:hAnsi="Times New Roman" w:cs="Times New Roman"/>
                <w:szCs w:val="24"/>
              </w:rPr>
              <w:t>Bio- gas plant</w:t>
            </w:r>
          </w:p>
        </w:tc>
        <w:tc>
          <w:tcPr>
            <w:tcW w:w="126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899.87</w:t>
            </w:r>
          </w:p>
        </w:tc>
        <w:tc>
          <w:tcPr>
            <w:tcW w:w="126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480.73</w:t>
            </w:r>
          </w:p>
        </w:tc>
        <w:tc>
          <w:tcPr>
            <w:tcW w:w="13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127.95</w:t>
            </w:r>
          </w:p>
        </w:tc>
        <w:tc>
          <w:tcPr>
            <w:tcW w:w="117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39"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8592C" w:rsidRPr="00B8592C" w:rsidTr="00B8592C">
        <w:trPr>
          <w:trHeight w:val="519"/>
        </w:trPr>
        <w:tc>
          <w:tcPr>
            <w:cnfStyle w:val="001000000000" w:firstRow="0" w:lastRow="0" w:firstColumn="1" w:lastColumn="0" w:oddVBand="0" w:evenVBand="0" w:oddHBand="0" w:evenHBand="0" w:firstRowFirstColumn="0" w:firstRowLastColumn="0" w:lastRowFirstColumn="0" w:lastRowLastColumn="0"/>
            <w:tcW w:w="2628" w:type="dxa"/>
          </w:tcPr>
          <w:p w:rsidR="00B8592C" w:rsidRPr="00B8592C" w:rsidRDefault="00B8592C" w:rsidP="00B8592C">
            <w:pPr>
              <w:jc w:val="both"/>
              <w:rPr>
                <w:rFonts w:ascii="Times New Roman" w:hAnsi="Times New Roman" w:cs="Times New Roman"/>
                <w:szCs w:val="24"/>
              </w:rPr>
            </w:pPr>
            <w:r w:rsidRPr="00B8592C">
              <w:rPr>
                <w:rFonts w:ascii="Times New Roman" w:hAnsi="Times New Roman" w:cs="Times New Roman"/>
                <w:szCs w:val="24"/>
              </w:rPr>
              <w:t>Solar/ Renewable Energy Plant</w:t>
            </w:r>
          </w:p>
        </w:tc>
        <w:tc>
          <w:tcPr>
            <w:tcW w:w="126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3638.37</w:t>
            </w:r>
          </w:p>
        </w:tc>
        <w:tc>
          <w:tcPr>
            <w:tcW w:w="126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2002.59</w:t>
            </w:r>
          </w:p>
        </w:tc>
        <w:tc>
          <w:tcPr>
            <w:tcW w:w="135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1614.62</w:t>
            </w:r>
          </w:p>
        </w:tc>
        <w:tc>
          <w:tcPr>
            <w:tcW w:w="117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39"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28" w:type="dxa"/>
          </w:tcPr>
          <w:p w:rsidR="00B8592C" w:rsidRPr="00B8592C" w:rsidRDefault="00B8592C" w:rsidP="00B8592C">
            <w:pPr>
              <w:jc w:val="both"/>
              <w:rPr>
                <w:rFonts w:ascii="Times New Roman" w:hAnsi="Times New Roman" w:cs="Times New Roman"/>
                <w:szCs w:val="24"/>
              </w:rPr>
            </w:pPr>
            <w:r w:rsidRPr="00B8592C">
              <w:rPr>
                <w:rFonts w:ascii="Times New Roman" w:hAnsi="Times New Roman" w:cs="Times New Roman"/>
                <w:szCs w:val="24"/>
              </w:rPr>
              <w:t>Bio-fertilizer plant</w:t>
            </w:r>
          </w:p>
        </w:tc>
        <w:tc>
          <w:tcPr>
            <w:tcW w:w="126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0.40</w:t>
            </w:r>
          </w:p>
        </w:tc>
        <w:tc>
          <w:tcPr>
            <w:tcW w:w="126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1.7</w:t>
            </w:r>
          </w:p>
        </w:tc>
        <w:tc>
          <w:tcPr>
            <w:tcW w:w="13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13.38</w:t>
            </w:r>
          </w:p>
        </w:tc>
        <w:tc>
          <w:tcPr>
            <w:tcW w:w="117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39"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8592C" w:rsidRPr="00B8592C" w:rsidTr="00B8592C">
        <w:trPr>
          <w:trHeight w:val="290"/>
        </w:trPr>
        <w:tc>
          <w:tcPr>
            <w:cnfStyle w:val="001000000000" w:firstRow="0" w:lastRow="0" w:firstColumn="1" w:lastColumn="0" w:oddVBand="0" w:evenVBand="0" w:oddHBand="0" w:evenHBand="0" w:firstRowFirstColumn="0" w:firstRowLastColumn="0" w:lastRowFirstColumn="0" w:lastRowLastColumn="0"/>
            <w:tcW w:w="2628" w:type="dxa"/>
          </w:tcPr>
          <w:p w:rsidR="00B8592C" w:rsidRPr="00B8592C" w:rsidRDefault="00B8592C" w:rsidP="00B8592C">
            <w:pPr>
              <w:jc w:val="both"/>
              <w:rPr>
                <w:rFonts w:ascii="Times New Roman" w:hAnsi="Times New Roman" w:cs="Times New Roman"/>
                <w:szCs w:val="24"/>
              </w:rPr>
            </w:pPr>
            <w:r w:rsidRPr="00B8592C">
              <w:rPr>
                <w:rFonts w:ascii="Times New Roman" w:hAnsi="Times New Roman" w:cs="Times New Roman"/>
                <w:szCs w:val="24"/>
              </w:rPr>
              <w:t>HHK</w:t>
            </w:r>
          </w:p>
        </w:tc>
        <w:tc>
          <w:tcPr>
            <w:tcW w:w="126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1830.33</w:t>
            </w:r>
          </w:p>
        </w:tc>
        <w:tc>
          <w:tcPr>
            <w:tcW w:w="126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2890.69</w:t>
            </w:r>
          </w:p>
        </w:tc>
        <w:tc>
          <w:tcPr>
            <w:tcW w:w="135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3141.89</w:t>
            </w:r>
          </w:p>
        </w:tc>
        <w:tc>
          <w:tcPr>
            <w:tcW w:w="117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39"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28" w:type="dxa"/>
          </w:tcPr>
          <w:p w:rsidR="00B8592C" w:rsidRPr="00B8592C" w:rsidRDefault="00B8592C" w:rsidP="00B8592C">
            <w:pPr>
              <w:jc w:val="both"/>
              <w:rPr>
                <w:rFonts w:ascii="Times New Roman" w:hAnsi="Times New Roman" w:cs="Times New Roman"/>
                <w:szCs w:val="24"/>
              </w:rPr>
            </w:pPr>
            <w:r w:rsidRPr="00B8592C">
              <w:rPr>
                <w:rFonts w:ascii="Times New Roman" w:hAnsi="Times New Roman" w:cs="Times New Roman"/>
                <w:szCs w:val="24"/>
              </w:rPr>
              <w:t>Others</w:t>
            </w:r>
          </w:p>
        </w:tc>
        <w:tc>
          <w:tcPr>
            <w:tcW w:w="126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4061.76</w:t>
            </w:r>
          </w:p>
        </w:tc>
        <w:tc>
          <w:tcPr>
            <w:tcW w:w="126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20565.23</w:t>
            </w:r>
          </w:p>
        </w:tc>
        <w:tc>
          <w:tcPr>
            <w:tcW w:w="13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1828.48</w:t>
            </w:r>
          </w:p>
        </w:tc>
        <w:tc>
          <w:tcPr>
            <w:tcW w:w="117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39"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8592C" w:rsidRPr="00B8592C" w:rsidTr="00B8592C">
        <w:trPr>
          <w:trHeight w:val="275"/>
        </w:trPr>
        <w:tc>
          <w:tcPr>
            <w:cnfStyle w:val="001000000000" w:firstRow="0" w:lastRow="0" w:firstColumn="1" w:lastColumn="0" w:oddVBand="0" w:evenVBand="0" w:oddHBand="0" w:evenHBand="0" w:firstRowFirstColumn="0" w:firstRowLastColumn="0" w:lastRowFirstColumn="0" w:lastRowLastColumn="0"/>
            <w:tcW w:w="2628" w:type="dxa"/>
          </w:tcPr>
          <w:p w:rsidR="00B8592C" w:rsidRPr="00B8592C" w:rsidRDefault="00B8592C" w:rsidP="00B8592C">
            <w:pPr>
              <w:jc w:val="both"/>
              <w:rPr>
                <w:rFonts w:ascii="Times New Roman" w:hAnsi="Times New Roman" w:cs="Times New Roman"/>
                <w:szCs w:val="24"/>
              </w:rPr>
            </w:pPr>
            <w:r w:rsidRPr="00B8592C">
              <w:rPr>
                <w:rFonts w:ascii="Times New Roman" w:hAnsi="Times New Roman" w:cs="Times New Roman"/>
                <w:szCs w:val="24"/>
              </w:rPr>
              <w:t>Reduced Rate of Interest</w:t>
            </w:r>
          </w:p>
        </w:tc>
        <w:tc>
          <w:tcPr>
            <w:tcW w:w="126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34.26</w:t>
            </w:r>
          </w:p>
        </w:tc>
        <w:tc>
          <w:tcPr>
            <w:tcW w:w="126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78.62</w:t>
            </w:r>
          </w:p>
        </w:tc>
        <w:tc>
          <w:tcPr>
            <w:tcW w:w="135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6993.07</w:t>
            </w:r>
          </w:p>
        </w:tc>
        <w:tc>
          <w:tcPr>
            <w:tcW w:w="117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39"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28" w:type="dxa"/>
          </w:tcPr>
          <w:p w:rsidR="00B8592C" w:rsidRPr="00B8592C" w:rsidRDefault="00B8592C" w:rsidP="00B8592C">
            <w:pPr>
              <w:jc w:val="both"/>
              <w:rPr>
                <w:rFonts w:ascii="Times New Roman" w:hAnsi="Times New Roman" w:cs="Times New Roman"/>
                <w:szCs w:val="24"/>
              </w:rPr>
            </w:pPr>
            <w:r w:rsidRPr="00B8592C">
              <w:rPr>
                <w:rFonts w:ascii="Times New Roman" w:hAnsi="Times New Roman" w:cs="Times New Roman"/>
                <w:szCs w:val="24"/>
              </w:rPr>
              <w:t>Total</w:t>
            </w:r>
          </w:p>
        </w:tc>
        <w:tc>
          <w:tcPr>
            <w:tcW w:w="126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270921.24</w:t>
            </w:r>
          </w:p>
        </w:tc>
        <w:tc>
          <w:tcPr>
            <w:tcW w:w="126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348125.6</w:t>
            </w:r>
          </w:p>
        </w:tc>
        <w:tc>
          <w:tcPr>
            <w:tcW w:w="13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190263.03</w:t>
            </w:r>
          </w:p>
        </w:tc>
        <w:tc>
          <w:tcPr>
            <w:tcW w:w="117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17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439"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bl>
    <w:p w:rsidR="00B8592C" w:rsidRPr="00B8592C" w:rsidRDefault="00B8592C" w:rsidP="00B8592C">
      <w:pPr>
        <w:jc w:val="both"/>
        <w:rPr>
          <w:rFonts w:ascii="Times New Roman" w:hAnsi="Times New Roman" w:cs="Times New Roman"/>
          <w:szCs w:val="24"/>
        </w:rPr>
      </w:pPr>
      <w:r w:rsidRPr="00B8592C">
        <w:rPr>
          <w:rFonts w:ascii="Times New Roman" w:hAnsi="Times New Roman" w:cs="Times New Roman"/>
          <w:szCs w:val="24"/>
        </w:rPr>
        <w:t xml:space="preserve">Source: Bangladesh Bank Quarterly Green Banking (2012 to 2017)   </w:t>
      </w:r>
    </w:p>
    <w:p w:rsidR="00B8592C" w:rsidRPr="00B8592C" w:rsidRDefault="00B8592C" w:rsidP="00B8592C">
      <w:pPr>
        <w:jc w:val="both"/>
        <w:rPr>
          <w:rFonts w:ascii="Times New Roman" w:eastAsia="Calibri" w:hAnsi="Times New Roman" w:cs="Times New Roman"/>
          <w:b/>
          <w:sz w:val="24"/>
        </w:rPr>
      </w:pPr>
      <w:r w:rsidRPr="00B8592C">
        <w:rPr>
          <w:rFonts w:ascii="Times New Roman" w:eastAsia="Calibri" w:hAnsi="Times New Roman" w:cs="Times New Roman"/>
          <w:b/>
          <w:sz w:val="24"/>
        </w:rPr>
        <w:t>Explanation:</w:t>
      </w:r>
    </w:p>
    <w:p w:rsidR="00B8592C" w:rsidRPr="00B8592C" w:rsidRDefault="00B8592C" w:rsidP="00B8592C">
      <w:pPr>
        <w:jc w:val="both"/>
        <w:rPr>
          <w:rFonts w:ascii="Times New Roman" w:eastAsia="Calibri" w:hAnsi="Times New Roman" w:cs="Times New Roman"/>
          <w:b/>
          <w:sz w:val="24"/>
        </w:rPr>
      </w:pPr>
    </w:p>
    <w:p w:rsidR="00B8592C" w:rsidRPr="00B8592C" w:rsidRDefault="00B8592C" w:rsidP="00B8592C">
      <w:pPr>
        <w:jc w:val="both"/>
        <w:rPr>
          <w:rFonts w:ascii="Times New Roman" w:eastAsia="Calibri" w:hAnsi="Times New Roman" w:cs="Times New Roman"/>
          <w:b/>
          <w:sz w:val="28"/>
        </w:rPr>
      </w:pPr>
      <w:r w:rsidRPr="00B8592C">
        <w:rPr>
          <w:rFonts w:ascii="Times New Roman" w:eastAsia="Calibri" w:hAnsi="Times New Roman" w:cs="Times New Roman"/>
          <w:b/>
          <w:sz w:val="28"/>
        </w:rPr>
        <w:lastRenderedPageBreak/>
        <w:t>Sustainable Banking</w:t>
      </w:r>
    </w:p>
    <w:p w:rsidR="00B8592C" w:rsidRDefault="00B8592C" w:rsidP="00B8592C">
      <w:pPr>
        <w:spacing w:line="360" w:lineRule="auto"/>
        <w:jc w:val="both"/>
        <w:rPr>
          <w:rFonts w:ascii="Times New Roman" w:eastAsia="Calibri" w:hAnsi="Times New Roman" w:cs="Times New Roman"/>
          <w:sz w:val="24"/>
        </w:rPr>
      </w:pPr>
      <w:r w:rsidRPr="00B8592C">
        <w:rPr>
          <w:rFonts w:ascii="Times New Roman" w:eastAsia="Calibri" w:hAnsi="Times New Roman" w:cs="Times New Roman"/>
          <w:sz w:val="24"/>
        </w:rPr>
        <w:t>Sustainable banking integrates environmental, social and governance (ESG) criteria into traditional banking, and sets ESG benefits as a key objective.</w:t>
      </w:r>
      <w:r w:rsidRPr="00B8592C">
        <w:rPr>
          <w:rFonts w:ascii="Calibri" w:eastAsia="Calibri" w:hAnsi="Calibri" w:cs="Times New Roman"/>
        </w:rPr>
        <w:t xml:space="preserve"> </w:t>
      </w:r>
      <w:r w:rsidRPr="00B8592C">
        <w:rPr>
          <w:rFonts w:ascii="Times New Roman" w:eastAsia="Calibri" w:hAnsi="Times New Roman" w:cs="Times New Roman"/>
          <w:sz w:val="24"/>
        </w:rPr>
        <w:t>A formal definition of sustainable banking is still being developed. At this stage, it is widely understood that sustainable banking implies carrying out banking operational and business activities, with conscious consideration for the environmental and social impacts of those activities.</w:t>
      </w: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spacing w:line="360" w:lineRule="auto"/>
        <w:jc w:val="both"/>
        <w:rPr>
          <w:rFonts w:ascii="Times New Roman" w:eastAsia="Calibri" w:hAnsi="Times New Roman" w:cs="Times New Roman"/>
          <w:sz w:val="24"/>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r w:rsidRPr="00B8592C">
        <w:rPr>
          <w:rFonts w:ascii="Times New Roman" w:hAnsi="Times New Roman" w:cs="Times New Roman"/>
          <w:noProof/>
          <w:sz w:val="28"/>
          <w:szCs w:val="28"/>
        </w:rPr>
        <w:pict>
          <v:shape id="_x0000_s1040" type="#_x0000_t98" style="position:absolute;left:0;text-align:left;margin-left:27.15pt;margin-top:.5pt;width:433.05pt;height:266pt;z-index:251677696" fillcolor="#92cddc [1944]" strokecolor="#92cddc [1944]" strokeweight="1pt">
            <v:fill color2="#daeef3 [664]" angle="-45" focusposition="1" focussize="" focus="-50%" type="gradient"/>
            <v:shadow on="t" type="perspective" color="#205867 [1608]" opacity=".5" offset="1pt" offset2="-3pt"/>
            <o:extrusion v:ext="view" render="wireFrame"/>
            <v:textbox style="mso-next-textbox:#_x0000_s1040">
              <w:txbxContent>
                <w:p w:rsidR="00B8592C" w:rsidRPr="00972FDC" w:rsidRDefault="00B8592C" w:rsidP="00B8592C">
                  <w:pPr>
                    <w:jc w:val="center"/>
                  </w:pPr>
                </w:p>
                <w:p w:rsidR="00B8592C" w:rsidRPr="00972FDC" w:rsidRDefault="00B8592C" w:rsidP="00B8592C">
                  <w:pPr>
                    <w:jc w:val="center"/>
                    <w:rPr>
                      <w:rFonts w:ascii="Times New Roman" w:hAnsi="Times New Roman" w:cs="Times New Roman"/>
                      <w:b/>
                      <w:sz w:val="44"/>
                      <w:szCs w:val="28"/>
                    </w:rPr>
                  </w:pPr>
                  <w:r>
                    <w:rPr>
                      <w:rFonts w:ascii="Times New Roman" w:hAnsi="Times New Roman" w:cs="Times New Roman"/>
                      <w:b/>
                      <w:sz w:val="44"/>
                      <w:szCs w:val="28"/>
                    </w:rPr>
                    <w:t>Chapter –4</w:t>
                  </w:r>
                </w:p>
                <w:p w:rsidR="00B8592C" w:rsidRPr="00972FDC" w:rsidRDefault="00B8592C" w:rsidP="00B8592C">
                  <w:pPr>
                    <w:jc w:val="center"/>
                    <w:rPr>
                      <w:rFonts w:ascii="Times New Roman" w:hAnsi="Times New Roman" w:cs="Times New Roman"/>
                      <w:b/>
                      <w:color w:val="00B050"/>
                      <w:sz w:val="56"/>
                      <w:szCs w:val="28"/>
                    </w:rPr>
                  </w:pPr>
                  <w:r w:rsidRPr="00972FDC">
                    <w:rPr>
                      <w:rFonts w:ascii="Times New Roman" w:hAnsi="Times New Roman" w:cs="Times New Roman"/>
                      <w:b/>
                      <w:color w:val="00B050"/>
                      <w:sz w:val="56"/>
                      <w:szCs w:val="28"/>
                    </w:rPr>
                    <w:t xml:space="preserve">Green Finance </w:t>
                  </w:r>
                </w:p>
              </w:txbxContent>
            </v:textbox>
          </v:shape>
        </w:pict>
      </w: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jc w:val="both"/>
        <w:rPr>
          <w:rFonts w:ascii="Times New Roman" w:hAnsi="Times New Roman" w:cs="Times New Roman"/>
          <w:sz w:val="28"/>
          <w:szCs w:val="28"/>
        </w:rPr>
      </w:pPr>
    </w:p>
    <w:p w:rsidR="00B8592C" w:rsidRPr="00B8592C" w:rsidRDefault="00B8592C" w:rsidP="00B8592C">
      <w:pPr>
        <w:tabs>
          <w:tab w:val="left" w:pos="1842"/>
        </w:tabs>
        <w:jc w:val="both"/>
        <w:rPr>
          <w:rFonts w:ascii="Times New Roman" w:hAnsi="Times New Roman" w:cs="Times New Roman"/>
          <w:b/>
          <w:sz w:val="24"/>
          <w:szCs w:val="28"/>
        </w:rPr>
      </w:pPr>
    </w:p>
    <w:p w:rsidR="00B8592C" w:rsidRPr="00B8592C" w:rsidRDefault="00B8592C" w:rsidP="00B8592C">
      <w:pPr>
        <w:tabs>
          <w:tab w:val="left" w:pos="1842"/>
        </w:tabs>
        <w:jc w:val="both"/>
        <w:rPr>
          <w:rFonts w:ascii="Times New Roman" w:hAnsi="Times New Roman" w:cs="Times New Roman"/>
          <w:b/>
          <w:sz w:val="24"/>
          <w:szCs w:val="28"/>
        </w:rPr>
      </w:pPr>
    </w:p>
    <w:p w:rsidR="00B8592C" w:rsidRPr="00B8592C" w:rsidRDefault="00B8592C" w:rsidP="00B8592C">
      <w:pPr>
        <w:tabs>
          <w:tab w:val="left" w:pos="1842"/>
        </w:tabs>
        <w:jc w:val="both"/>
        <w:rPr>
          <w:rFonts w:ascii="Times New Roman" w:hAnsi="Times New Roman" w:cs="Times New Roman"/>
          <w:b/>
          <w:sz w:val="24"/>
          <w:szCs w:val="28"/>
        </w:rPr>
      </w:pPr>
    </w:p>
    <w:p w:rsidR="00B8592C" w:rsidRPr="00B8592C" w:rsidRDefault="00B8592C" w:rsidP="00B8592C">
      <w:pPr>
        <w:tabs>
          <w:tab w:val="left" w:pos="1842"/>
        </w:tabs>
        <w:jc w:val="both"/>
        <w:rPr>
          <w:rFonts w:ascii="Times New Roman" w:hAnsi="Times New Roman" w:cs="Times New Roman"/>
          <w:b/>
          <w:sz w:val="24"/>
          <w:szCs w:val="28"/>
        </w:rPr>
      </w:pPr>
    </w:p>
    <w:p w:rsidR="00B8592C" w:rsidRPr="00B8592C" w:rsidRDefault="00B8592C" w:rsidP="00B8592C">
      <w:pPr>
        <w:tabs>
          <w:tab w:val="left" w:pos="1842"/>
        </w:tabs>
        <w:jc w:val="both"/>
        <w:rPr>
          <w:rFonts w:ascii="Times New Roman" w:hAnsi="Times New Roman" w:cs="Times New Roman"/>
          <w:b/>
          <w:sz w:val="24"/>
          <w:szCs w:val="28"/>
        </w:rPr>
      </w:pPr>
    </w:p>
    <w:p w:rsidR="00B8592C" w:rsidRPr="00B8592C" w:rsidRDefault="00B8592C" w:rsidP="00B8592C">
      <w:pPr>
        <w:tabs>
          <w:tab w:val="left" w:pos="1842"/>
        </w:tabs>
        <w:jc w:val="both"/>
        <w:rPr>
          <w:rFonts w:ascii="Times New Roman" w:hAnsi="Times New Roman" w:cs="Times New Roman"/>
          <w:b/>
          <w:sz w:val="24"/>
          <w:szCs w:val="28"/>
        </w:rPr>
      </w:pPr>
    </w:p>
    <w:p w:rsidR="00B8592C" w:rsidRPr="00B8592C" w:rsidRDefault="00B8592C" w:rsidP="00B8592C">
      <w:pPr>
        <w:tabs>
          <w:tab w:val="left" w:pos="1842"/>
        </w:tabs>
        <w:jc w:val="both"/>
        <w:rPr>
          <w:rFonts w:ascii="Times New Roman" w:hAnsi="Times New Roman" w:cs="Times New Roman"/>
          <w:b/>
          <w:sz w:val="24"/>
          <w:szCs w:val="28"/>
        </w:rPr>
      </w:pPr>
    </w:p>
    <w:p w:rsidR="00B8592C" w:rsidRPr="00B8592C" w:rsidRDefault="00B8592C" w:rsidP="00B8592C">
      <w:pPr>
        <w:tabs>
          <w:tab w:val="left" w:pos="1842"/>
        </w:tabs>
        <w:jc w:val="both"/>
        <w:rPr>
          <w:rFonts w:ascii="Times New Roman" w:hAnsi="Times New Roman" w:cs="Times New Roman"/>
          <w:b/>
          <w:sz w:val="24"/>
          <w:szCs w:val="28"/>
        </w:rPr>
      </w:pPr>
    </w:p>
    <w:p w:rsidR="00B8592C" w:rsidRPr="00B8592C" w:rsidRDefault="00B8592C" w:rsidP="00B8592C">
      <w:pPr>
        <w:tabs>
          <w:tab w:val="left" w:pos="1842"/>
        </w:tabs>
        <w:jc w:val="both"/>
        <w:rPr>
          <w:rFonts w:ascii="Times New Roman" w:hAnsi="Times New Roman" w:cs="Times New Roman"/>
          <w:b/>
          <w:sz w:val="24"/>
          <w:szCs w:val="28"/>
        </w:rPr>
      </w:pPr>
    </w:p>
    <w:p w:rsidR="00B8592C" w:rsidRPr="00B8592C" w:rsidRDefault="00B8592C" w:rsidP="00B8592C">
      <w:pPr>
        <w:tabs>
          <w:tab w:val="left" w:pos="1842"/>
        </w:tabs>
        <w:jc w:val="both"/>
        <w:rPr>
          <w:rFonts w:ascii="Times New Roman" w:hAnsi="Times New Roman" w:cs="Times New Roman"/>
          <w:b/>
          <w:sz w:val="24"/>
          <w:szCs w:val="28"/>
        </w:rPr>
      </w:pPr>
    </w:p>
    <w:p w:rsidR="00B8592C" w:rsidRPr="00B8592C" w:rsidRDefault="00B8592C" w:rsidP="00B8592C">
      <w:pPr>
        <w:tabs>
          <w:tab w:val="left" w:pos="1842"/>
        </w:tabs>
        <w:jc w:val="both"/>
        <w:rPr>
          <w:rFonts w:ascii="Times New Roman" w:hAnsi="Times New Roman" w:cs="Times New Roman"/>
          <w:b/>
          <w:sz w:val="24"/>
          <w:szCs w:val="28"/>
        </w:rPr>
      </w:pPr>
    </w:p>
    <w:p w:rsidR="00B8592C" w:rsidRPr="00B8592C" w:rsidRDefault="00B8592C" w:rsidP="00B8592C">
      <w:pPr>
        <w:tabs>
          <w:tab w:val="left" w:pos="1842"/>
        </w:tabs>
        <w:jc w:val="both"/>
        <w:rPr>
          <w:rFonts w:ascii="Times New Roman" w:hAnsi="Times New Roman" w:cs="Times New Roman"/>
          <w:b/>
          <w:sz w:val="24"/>
          <w:szCs w:val="28"/>
        </w:rPr>
      </w:pPr>
    </w:p>
    <w:p w:rsidR="00B8592C" w:rsidRPr="00B8592C" w:rsidRDefault="00B8592C" w:rsidP="00B8592C">
      <w:pPr>
        <w:tabs>
          <w:tab w:val="left" w:pos="1842"/>
        </w:tabs>
        <w:jc w:val="both"/>
        <w:rPr>
          <w:rFonts w:ascii="Times New Roman" w:hAnsi="Times New Roman" w:cs="Times New Roman"/>
          <w:b/>
          <w:sz w:val="24"/>
          <w:szCs w:val="28"/>
        </w:rPr>
      </w:pPr>
    </w:p>
    <w:p w:rsidR="00B8592C" w:rsidRPr="00B8592C" w:rsidRDefault="00B8592C" w:rsidP="00B8592C">
      <w:pPr>
        <w:tabs>
          <w:tab w:val="left" w:pos="1842"/>
        </w:tabs>
        <w:jc w:val="both"/>
        <w:rPr>
          <w:rFonts w:ascii="Times New Roman" w:hAnsi="Times New Roman" w:cs="Times New Roman"/>
          <w:b/>
          <w:sz w:val="24"/>
          <w:szCs w:val="28"/>
        </w:rPr>
      </w:pPr>
    </w:p>
    <w:p w:rsidR="00B8592C" w:rsidRPr="00B8592C" w:rsidRDefault="00B8592C" w:rsidP="00B8592C">
      <w:pPr>
        <w:rPr>
          <w:rFonts w:ascii="Times New Roman" w:hAnsi="Times New Roman" w:cs="Times New Roman"/>
          <w:b/>
          <w:sz w:val="28"/>
          <w:szCs w:val="28"/>
        </w:rPr>
      </w:pPr>
    </w:p>
    <w:p w:rsidR="00B8592C" w:rsidRPr="00B8592C" w:rsidRDefault="00B8592C" w:rsidP="00B8592C">
      <w:pPr>
        <w:rPr>
          <w:rFonts w:ascii="Times New Roman" w:hAnsi="Times New Roman" w:cs="Times New Roman"/>
          <w:b/>
          <w:sz w:val="28"/>
          <w:szCs w:val="28"/>
        </w:rPr>
      </w:pPr>
      <w:r w:rsidRPr="00B8592C">
        <w:rPr>
          <w:rFonts w:ascii="Times New Roman" w:hAnsi="Times New Roman" w:cs="Times New Roman"/>
          <w:b/>
          <w:sz w:val="28"/>
          <w:szCs w:val="28"/>
        </w:rPr>
        <w:lastRenderedPageBreak/>
        <w:t>3.1. Green Finance</w:t>
      </w:r>
    </w:p>
    <w:p w:rsidR="00B8592C" w:rsidRPr="00B8592C" w:rsidRDefault="00B8592C" w:rsidP="00B8592C">
      <w:pPr>
        <w:jc w:val="both"/>
        <w:rPr>
          <w:rFonts w:ascii="Times New Roman" w:hAnsi="Times New Roman" w:cs="Times New Roman"/>
          <w:b/>
          <w:color w:val="00B050"/>
          <w:sz w:val="28"/>
          <w:szCs w:val="28"/>
        </w:rPr>
      </w:pPr>
      <w:r w:rsidRPr="00B8592C">
        <w:rPr>
          <w:rFonts w:ascii="Times New Roman" w:hAnsi="Times New Roman" w:cs="Times New Roman"/>
          <w:sz w:val="24"/>
          <w:szCs w:val="28"/>
        </w:rPr>
        <w:t>Green Finance is a broad term that can refer to financial investment following into sustainable development projects and initiatives, environmental products, and policies that encourage the development of a more sustainable economy. Green finance is a phenomenon that combines the world of finance and business with environmentally friendly behavior. It is an arena for many participants, including individual and business consumers, producers, investors, and financial lenders. Green Finance can be expressed differently depending on the participant and it may be led by financial incentives.</w:t>
      </w:r>
    </w:p>
    <w:p w:rsidR="00B8592C" w:rsidRPr="00B8592C" w:rsidRDefault="00B8592C" w:rsidP="00B8592C">
      <w:pPr>
        <w:jc w:val="both"/>
        <w:rPr>
          <w:rFonts w:ascii="Times New Roman" w:hAnsi="Times New Roman" w:cs="Vrinda"/>
          <w:sz w:val="24"/>
          <w:szCs w:val="28"/>
          <w:lang w:bidi="bn-BD"/>
        </w:rPr>
      </w:pPr>
      <w:r w:rsidRPr="00B8592C">
        <w:rPr>
          <w:rFonts w:ascii="Times New Roman" w:hAnsi="Times New Roman" w:cs="Vrinda"/>
          <w:sz w:val="24"/>
          <w:szCs w:val="28"/>
          <w:lang w:bidi="bn-BD"/>
        </w:rPr>
        <w:t>According to Bangladesh Bank Guideline commercial banks undertook an initiative to go green by paying low interest loans to the customers who would like to setup solar equipment’s, ETP, Bio-gas Plant, Hybrid Hoffman Kiln (HHK) etc. Despite the country’s state-owned and private commercial banks and a non-banking financial institution (NBFI) signed an agreement with BB to disburse the environment friendly loan.</w:t>
      </w:r>
    </w:p>
    <w:p w:rsidR="00B8592C" w:rsidRPr="00B8592C" w:rsidRDefault="00B8592C" w:rsidP="00B8592C">
      <w:pPr>
        <w:jc w:val="both"/>
        <w:rPr>
          <w:rFonts w:ascii="Times New Roman" w:hAnsi="Times New Roman" w:cs="Times New Roman"/>
          <w:sz w:val="24"/>
          <w:szCs w:val="28"/>
        </w:rPr>
      </w:pPr>
      <w:r w:rsidRPr="00B8592C">
        <w:rPr>
          <w:rFonts w:ascii="Times New Roman" w:hAnsi="Times New Roman" w:cs="Times New Roman"/>
          <w:sz w:val="24"/>
          <w:szCs w:val="28"/>
        </w:rPr>
        <w:t>Green Finance includes climate finance but is not limited to it. It is also refers to a wider range of other environmental objectives, for example industrial pollution control, water sanitation, or biodiversity protection.</w:t>
      </w:r>
    </w:p>
    <w:p w:rsidR="00B8592C" w:rsidRPr="00B8592C" w:rsidRDefault="00B8592C" w:rsidP="00B8592C">
      <w:pPr>
        <w:spacing w:after="0" w:line="360" w:lineRule="auto"/>
        <w:jc w:val="both"/>
        <w:rPr>
          <w:rFonts w:ascii="Times New Roman" w:hAnsi="Times New Roman" w:cs="Times New Roman"/>
          <w:b/>
          <w:sz w:val="24"/>
          <w:szCs w:val="28"/>
        </w:rPr>
      </w:pPr>
      <w:r w:rsidRPr="00B8592C">
        <w:rPr>
          <w:rFonts w:ascii="Times New Roman" w:hAnsi="Times New Roman" w:cs="Times New Roman"/>
          <w:b/>
          <w:sz w:val="28"/>
          <w:szCs w:val="28"/>
        </w:rPr>
        <w:t>3.2. Activities of Green finance</w:t>
      </w:r>
      <w:r w:rsidRPr="00B8592C">
        <w:rPr>
          <w:rFonts w:ascii="Times New Roman" w:hAnsi="Times New Roman" w:cs="Times New Roman"/>
          <w:b/>
          <w:sz w:val="24"/>
          <w:szCs w:val="28"/>
        </w:rPr>
        <w:t xml:space="preserve">: </w:t>
      </w:r>
    </w:p>
    <w:p w:rsidR="00B8592C" w:rsidRPr="00B8592C" w:rsidRDefault="00B8592C" w:rsidP="00B8592C">
      <w:pPr>
        <w:spacing w:after="0"/>
        <w:jc w:val="both"/>
        <w:rPr>
          <w:rFonts w:ascii="Times New Roman" w:hAnsi="Times New Roman" w:cs="Times New Roman"/>
          <w:sz w:val="24"/>
          <w:szCs w:val="28"/>
        </w:rPr>
      </w:pPr>
      <w:r w:rsidRPr="00B8592C">
        <w:rPr>
          <w:rFonts w:ascii="Times New Roman" w:hAnsi="Times New Roman" w:cs="Times New Roman"/>
          <w:sz w:val="24"/>
          <w:szCs w:val="28"/>
        </w:rPr>
        <w:t>Green finance combines both direct and indirect green finance. Source of Bank’s</w:t>
      </w:r>
      <w:r w:rsidRPr="00B8592C">
        <w:rPr>
          <w:rFonts w:ascii="Times New Roman" w:hAnsi="Times New Roman" w:cs="Vrinda"/>
          <w:sz w:val="24"/>
          <w:szCs w:val="28"/>
          <w:lang w:bidi="bn-BD"/>
        </w:rPr>
        <w:t xml:space="preserve"> direct green finance may be bank’s own fund or Bangladesh Bank’s fund for renewable energy and environment friendly projects. Indirect green finance means financing the project having ETP or </w:t>
      </w:r>
      <w:proofErr w:type="gramStart"/>
      <w:r w:rsidRPr="00B8592C">
        <w:rPr>
          <w:rFonts w:ascii="Times New Roman" w:hAnsi="Times New Roman" w:cs="Vrinda"/>
          <w:sz w:val="24"/>
          <w:szCs w:val="28"/>
          <w:lang w:bidi="bn-BD"/>
        </w:rPr>
        <w:t>alike</w:t>
      </w:r>
      <w:proofErr w:type="gramEnd"/>
      <w:r w:rsidRPr="00B8592C">
        <w:rPr>
          <w:rFonts w:ascii="Times New Roman" w:hAnsi="Times New Roman" w:cs="Vrinda"/>
          <w:sz w:val="24"/>
          <w:szCs w:val="28"/>
          <w:lang w:bidi="bn-BD"/>
        </w:rPr>
        <w:t xml:space="preserve"> system. </w:t>
      </w:r>
    </w:p>
    <w:p w:rsidR="00B8592C" w:rsidRPr="00B8592C" w:rsidRDefault="00B8592C" w:rsidP="00B8592C">
      <w:pPr>
        <w:spacing w:line="360" w:lineRule="auto"/>
        <w:jc w:val="center"/>
        <w:rPr>
          <w:rFonts w:ascii="Times New Roman" w:hAnsi="Times New Roman" w:cs="Times New Roman"/>
          <w:sz w:val="24"/>
          <w:szCs w:val="28"/>
        </w:rPr>
      </w:pPr>
      <w:r w:rsidRPr="00B8592C">
        <w:rPr>
          <w:rFonts w:ascii="Times New Roman" w:hAnsi="Times New Roman" w:cs="Times New Roman"/>
          <w:b/>
          <w:sz w:val="24"/>
          <w:szCs w:val="28"/>
        </w:rPr>
        <w:t xml:space="preserve">3.1. </w:t>
      </w:r>
      <w:r w:rsidRPr="00B8592C">
        <w:rPr>
          <w:rFonts w:ascii="Times New Roman" w:hAnsi="Times New Roman" w:cs="Times New Roman"/>
          <w:b/>
          <w:sz w:val="20"/>
          <w:szCs w:val="28"/>
        </w:rPr>
        <w:t>Figure: Activities of Green Finance</w:t>
      </w:r>
    </w:p>
    <w:p w:rsidR="00B8592C" w:rsidRPr="00B8592C" w:rsidRDefault="00B8592C" w:rsidP="00B8592C">
      <w:pPr>
        <w:spacing w:after="0" w:line="360" w:lineRule="auto"/>
        <w:jc w:val="center"/>
        <w:rPr>
          <w:rFonts w:ascii="Times New Roman" w:hAnsi="Times New Roman" w:cs="Times New Roman"/>
          <w:b/>
          <w:sz w:val="24"/>
          <w:szCs w:val="28"/>
        </w:rPr>
      </w:pPr>
      <w:r w:rsidRPr="00B8592C">
        <w:rPr>
          <w:rFonts w:ascii="Times New Roman" w:hAnsi="Times New Roman" w:cs="Times New Roman"/>
          <w:noProof/>
          <w:sz w:val="24"/>
          <w:szCs w:val="28"/>
        </w:rPr>
        <w:lastRenderedPageBreak/>
        <w:drawing>
          <wp:inline distT="0" distB="0" distL="0" distR="0" wp14:anchorId="41756BF6" wp14:editId="50BB99A7">
            <wp:extent cx="5838825" cy="3400425"/>
            <wp:effectExtent l="0" t="0" r="0" b="85725"/>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Pr="00B8592C">
        <w:rPr>
          <w:rFonts w:ascii="Times New Roman" w:hAnsi="Times New Roman" w:cs="Times New Roman"/>
          <w:b/>
          <w:sz w:val="20"/>
          <w:szCs w:val="24"/>
        </w:rPr>
        <w:t>Source: Bangladesh Bank Annual Report on Green Banking – 2012</w:t>
      </w:r>
    </w:p>
    <w:p w:rsidR="00B8592C" w:rsidRPr="00B8592C" w:rsidRDefault="00B8592C" w:rsidP="00B8592C">
      <w:pPr>
        <w:spacing w:line="360" w:lineRule="auto"/>
        <w:jc w:val="both"/>
        <w:rPr>
          <w:rFonts w:ascii="Times New Roman" w:hAnsi="Times New Roman" w:cs="Times New Roman"/>
          <w:szCs w:val="28"/>
          <w:lang w:bidi="bn-BD"/>
        </w:rPr>
      </w:pPr>
      <w:r w:rsidRPr="00B8592C">
        <w:rPr>
          <w:rFonts w:ascii="Times New Roman" w:hAnsi="Times New Roman" w:cs="Times New Roman"/>
          <w:b/>
          <w:sz w:val="24"/>
          <w:szCs w:val="28"/>
          <w:lang w:bidi="bn-BD"/>
        </w:rPr>
        <w:t xml:space="preserve">3.2.1. Direct Green Finance: </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sz w:val="24"/>
          <w:szCs w:val="28"/>
          <w:lang w:bidi="bn-BD"/>
        </w:rPr>
        <w:t>Direct finance is may be its bank’s own fund or Bangladesh Bank’s fund for renewable energy and environment friendly projects. Direct green finance is installation of ETP, Bio-gas Plant, Solar panel, Bio-fertilizer plant or others. Given below some discussion about these projects:</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b/>
          <w:sz w:val="24"/>
          <w:szCs w:val="28"/>
          <w:lang w:bidi="bn-BD"/>
        </w:rPr>
        <w:t>Installation of ETP:</w:t>
      </w:r>
      <w:r w:rsidRPr="00B8592C">
        <w:rPr>
          <w:rFonts w:ascii="Times New Roman" w:hAnsi="Times New Roman" w:cs="Vrinda"/>
          <w:sz w:val="24"/>
          <w:szCs w:val="28"/>
          <w:lang w:bidi="bn-BD"/>
        </w:rPr>
        <w:t xml:space="preserve"> Effluent treatment plants are essential to treat waste discharged from residential units, various industries or manufacturing units. Apart from treatment plants for residential units, different types of effluent treatment plants are required for various industries as they produce by products or polluted wastes which cannot be directly discharged in the nature. Where the effluent treatment plant must be installed? Given below the some list of industries where effluent treatment plants are essential:</w:t>
      </w:r>
    </w:p>
    <w:p w:rsidR="00B8592C" w:rsidRPr="00B8592C" w:rsidRDefault="00B8592C" w:rsidP="00B8592C">
      <w:pPr>
        <w:numPr>
          <w:ilvl w:val="0"/>
          <w:numId w:val="9"/>
        </w:numPr>
        <w:spacing w:line="360" w:lineRule="auto"/>
        <w:contextualSpacing/>
        <w:jc w:val="both"/>
        <w:rPr>
          <w:rFonts w:ascii="Times New Roman" w:hAnsi="Times New Roman" w:cs="Vrinda"/>
          <w:sz w:val="24"/>
          <w:szCs w:val="28"/>
          <w:lang w:bidi="bn-BD"/>
        </w:rPr>
      </w:pPr>
      <w:r w:rsidRPr="00B8592C">
        <w:rPr>
          <w:rFonts w:ascii="Times New Roman" w:hAnsi="Times New Roman" w:cs="Vrinda"/>
          <w:sz w:val="24"/>
          <w:szCs w:val="28"/>
          <w:lang w:bidi="bn-BD"/>
        </w:rPr>
        <w:t>Food Industry</w:t>
      </w:r>
    </w:p>
    <w:p w:rsidR="00B8592C" w:rsidRPr="00B8592C" w:rsidRDefault="00B8592C" w:rsidP="00B8592C">
      <w:pPr>
        <w:numPr>
          <w:ilvl w:val="0"/>
          <w:numId w:val="9"/>
        </w:numPr>
        <w:spacing w:line="360" w:lineRule="auto"/>
        <w:contextualSpacing/>
        <w:jc w:val="both"/>
        <w:rPr>
          <w:rFonts w:ascii="Times New Roman" w:hAnsi="Times New Roman" w:cs="Vrinda"/>
          <w:sz w:val="24"/>
          <w:szCs w:val="28"/>
          <w:lang w:bidi="bn-BD"/>
        </w:rPr>
      </w:pPr>
      <w:r w:rsidRPr="00B8592C">
        <w:rPr>
          <w:rFonts w:ascii="Times New Roman" w:hAnsi="Times New Roman" w:cs="Vrinda"/>
          <w:sz w:val="24"/>
          <w:szCs w:val="28"/>
          <w:lang w:bidi="bn-BD"/>
        </w:rPr>
        <w:t>Pharmaceuticals Industry</w:t>
      </w:r>
    </w:p>
    <w:p w:rsidR="00B8592C" w:rsidRPr="00B8592C" w:rsidRDefault="00B8592C" w:rsidP="00B8592C">
      <w:pPr>
        <w:numPr>
          <w:ilvl w:val="0"/>
          <w:numId w:val="9"/>
        </w:numPr>
        <w:spacing w:line="360" w:lineRule="auto"/>
        <w:contextualSpacing/>
        <w:jc w:val="both"/>
        <w:rPr>
          <w:rFonts w:ascii="Times New Roman" w:hAnsi="Times New Roman" w:cs="Vrinda"/>
          <w:sz w:val="24"/>
          <w:szCs w:val="28"/>
          <w:lang w:bidi="bn-BD"/>
        </w:rPr>
      </w:pPr>
      <w:r w:rsidRPr="00B8592C">
        <w:rPr>
          <w:rFonts w:ascii="Times New Roman" w:hAnsi="Times New Roman" w:cs="Vrinda"/>
          <w:sz w:val="24"/>
          <w:szCs w:val="28"/>
          <w:lang w:bidi="bn-BD"/>
        </w:rPr>
        <w:t>Dairy Industry</w:t>
      </w:r>
    </w:p>
    <w:p w:rsidR="00B8592C" w:rsidRPr="00B8592C" w:rsidRDefault="00B8592C" w:rsidP="00B8592C">
      <w:pPr>
        <w:numPr>
          <w:ilvl w:val="0"/>
          <w:numId w:val="9"/>
        </w:numPr>
        <w:spacing w:line="360" w:lineRule="auto"/>
        <w:contextualSpacing/>
        <w:jc w:val="both"/>
        <w:rPr>
          <w:rFonts w:ascii="Times New Roman" w:hAnsi="Times New Roman" w:cs="Vrinda"/>
          <w:sz w:val="24"/>
          <w:szCs w:val="28"/>
          <w:lang w:bidi="bn-BD"/>
        </w:rPr>
      </w:pPr>
      <w:r w:rsidRPr="00B8592C">
        <w:rPr>
          <w:rFonts w:ascii="Times New Roman" w:hAnsi="Times New Roman" w:cs="Vrinda"/>
          <w:sz w:val="24"/>
          <w:szCs w:val="28"/>
          <w:lang w:bidi="bn-BD"/>
        </w:rPr>
        <w:t>Textile and Dye Industry</w:t>
      </w:r>
    </w:p>
    <w:p w:rsidR="00B8592C" w:rsidRPr="00B8592C" w:rsidRDefault="00B8592C" w:rsidP="00B8592C">
      <w:pPr>
        <w:numPr>
          <w:ilvl w:val="0"/>
          <w:numId w:val="9"/>
        </w:numPr>
        <w:spacing w:line="360" w:lineRule="auto"/>
        <w:contextualSpacing/>
        <w:jc w:val="both"/>
        <w:rPr>
          <w:rFonts w:ascii="Times New Roman" w:hAnsi="Times New Roman" w:cs="Vrinda"/>
          <w:sz w:val="24"/>
          <w:szCs w:val="28"/>
          <w:lang w:bidi="bn-BD"/>
        </w:rPr>
      </w:pPr>
      <w:r w:rsidRPr="00B8592C">
        <w:rPr>
          <w:rFonts w:ascii="Times New Roman" w:hAnsi="Times New Roman" w:cs="Vrinda"/>
          <w:sz w:val="24"/>
          <w:szCs w:val="28"/>
          <w:lang w:bidi="bn-BD"/>
        </w:rPr>
        <w:t>Chemical/ Paint manufacturing units.</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sz w:val="24"/>
          <w:szCs w:val="28"/>
          <w:lang w:bidi="bn-BD"/>
        </w:rPr>
        <w:t>Many such Industries need effluent treatment plants to purify the waste water before it gets discharged.</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b/>
          <w:sz w:val="24"/>
          <w:szCs w:val="28"/>
          <w:lang w:bidi="bn-BD"/>
        </w:rPr>
        <w:lastRenderedPageBreak/>
        <w:t xml:space="preserve">Bio-gas Plant: </w:t>
      </w:r>
      <w:r w:rsidRPr="00B8592C">
        <w:rPr>
          <w:rFonts w:ascii="Times New Roman" w:hAnsi="Times New Roman" w:cs="Vrinda"/>
          <w:sz w:val="24"/>
          <w:szCs w:val="28"/>
          <w:lang w:bidi="bn-BD"/>
        </w:rPr>
        <w:t>A biogas plant is an anaerobic digester that produces biogas from animal wastes or energy crops. Energy crops are cheap crops grown for the purpose of biofuels, rather than food. Biofuels are liquid, gaseous, or solid fuel made from live or recently dead organic material known as biomass, as opposed to fossil fuels, which are composed of ancient biological materials. Biogas is a type of biofuel created via anaerobic, or oxygen free, digestion of organic matter by bacteria. A biogas plant is composed of a digester and a gas holder.</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b/>
          <w:sz w:val="24"/>
          <w:szCs w:val="28"/>
          <w:lang w:bidi="bn-BD"/>
        </w:rPr>
        <w:t xml:space="preserve">Solar panel: </w:t>
      </w:r>
      <w:r w:rsidRPr="00B8592C">
        <w:rPr>
          <w:rFonts w:ascii="Times New Roman" w:hAnsi="Times New Roman" w:cs="Vrinda"/>
          <w:sz w:val="24"/>
          <w:szCs w:val="28"/>
          <w:lang w:bidi="bn-BD"/>
        </w:rPr>
        <w:t>Solar energy begins with the sun. Solar panels are used to convert light from the sun, which is composed of particles of energy called photons, into electricity that can be used to power electrical loads. Solar panels can be used for a wide variety of applications including remote power systems for cabins, telecommunications equipment, remote sensing, and of course for the production of electricity by residential and commercial solar electric system.</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b/>
          <w:sz w:val="24"/>
          <w:szCs w:val="28"/>
          <w:lang w:bidi="bn-BD"/>
        </w:rPr>
        <w:t xml:space="preserve">Bio-fertilizer plant: </w:t>
      </w:r>
      <w:r w:rsidRPr="00B8592C">
        <w:rPr>
          <w:rFonts w:ascii="Times New Roman" w:hAnsi="Times New Roman" w:cs="Vrinda"/>
          <w:sz w:val="24"/>
          <w:szCs w:val="28"/>
          <w:lang w:bidi="bn-BD"/>
        </w:rPr>
        <w:t>A bio-fertilizer is a substance which contains living microorganisms which, when applied to seeds, plant surfaces, or soil, colonizes the rhino sphere or the interior of the plant and promotes growth by increasing the supply or availability of primary nutrients to the host plant.</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b/>
          <w:sz w:val="24"/>
          <w:szCs w:val="28"/>
          <w:lang w:bidi="bn-BD"/>
        </w:rPr>
        <w:t xml:space="preserve">Hybrid Hoffman Kiln (HHK): </w:t>
      </w:r>
      <w:r w:rsidRPr="00B8592C">
        <w:rPr>
          <w:rFonts w:ascii="Times New Roman" w:hAnsi="Times New Roman" w:cs="Vrinda"/>
          <w:sz w:val="24"/>
          <w:szCs w:val="28"/>
          <w:lang w:bidi="bn-BD"/>
        </w:rPr>
        <w:t>The Hoffman Kiln is a series of batch process kilns. Hoffman Kilns are the most common kiln used in production of bricks and some other ceramic products. Patented by German Friedrich Hoffman for brick making in 1858, it was later used for time burning, and was known as Hoffman continuous kiln.</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sz w:val="24"/>
          <w:szCs w:val="28"/>
          <w:lang w:bidi="bn-BD"/>
        </w:rPr>
        <w:t>So these are some discussion about direct green finance.</w:t>
      </w:r>
    </w:p>
    <w:p w:rsidR="00B8592C" w:rsidRPr="00B8592C" w:rsidRDefault="00B8592C" w:rsidP="00B8592C">
      <w:pPr>
        <w:spacing w:line="360" w:lineRule="auto"/>
        <w:jc w:val="both"/>
        <w:rPr>
          <w:rFonts w:ascii="Times New Roman" w:hAnsi="Times New Roman" w:cs="Times New Roman"/>
          <w:b/>
          <w:sz w:val="24"/>
          <w:szCs w:val="28"/>
          <w:lang w:bidi="bn-BD"/>
        </w:rPr>
      </w:pPr>
      <w:r w:rsidRPr="00B8592C">
        <w:rPr>
          <w:rFonts w:ascii="Times New Roman" w:hAnsi="Times New Roman" w:cs="Times New Roman"/>
          <w:b/>
          <w:sz w:val="24"/>
          <w:szCs w:val="28"/>
          <w:lang w:bidi="bn-BD"/>
        </w:rPr>
        <w:t>3.2.2. Indirect Green Finance:</w:t>
      </w:r>
    </w:p>
    <w:p w:rsidR="00B8592C" w:rsidRPr="00B8592C" w:rsidRDefault="00B8592C" w:rsidP="00B8592C">
      <w:pPr>
        <w:spacing w:line="360" w:lineRule="auto"/>
        <w:jc w:val="both"/>
        <w:rPr>
          <w:rFonts w:ascii="Times New Roman" w:hAnsi="Times New Roman" w:cs="Vrinda"/>
          <w:sz w:val="24"/>
          <w:szCs w:val="28"/>
          <w:lang w:bidi="bn-BD"/>
        </w:rPr>
      </w:pPr>
      <w:r w:rsidRPr="00B8592C">
        <w:rPr>
          <w:rFonts w:ascii="Times New Roman" w:hAnsi="Times New Roman" w:cs="Vrinda"/>
          <w:sz w:val="24"/>
          <w:szCs w:val="28"/>
          <w:lang w:bidi="bn-BD"/>
        </w:rPr>
        <w:t xml:space="preserve">Indirect green finance means financing the project having ETP or </w:t>
      </w:r>
      <w:proofErr w:type="gramStart"/>
      <w:r w:rsidRPr="00B8592C">
        <w:rPr>
          <w:rFonts w:ascii="Times New Roman" w:hAnsi="Times New Roman" w:cs="Vrinda"/>
          <w:sz w:val="24"/>
          <w:szCs w:val="28"/>
          <w:lang w:bidi="bn-BD"/>
        </w:rPr>
        <w:t>alike</w:t>
      </w:r>
      <w:proofErr w:type="gramEnd"/>
      <w:r w:rsidRPr="00B8592C">
        <w:rPr>
          <w:rFonts w:ascii="Times New Roman" w:hAnsi="Times New Roman" w:cs="Vrinda"/>
          <w:sz w:val="24"/>
          <w:szCs w:val="28"/>
          <w:lang w:bidi="bn-BD"/>
        </w:rPr>
        <w:t xml:space="preserve"> system, or which projects are financing by having ETP is known as indirect green Finance. The Projects are Textile factory, Effluent treatment plant and Insight of the factory.</w:t>
      </w:r>
    </w:p>
    <w:p w:rsidR="00B8592C" w:rsidRPr="00B8592C" w:rsidRDefault="00B8592C" w:rsidP="00B8592C">
      <w:pPr>
        <w:spacing w:after="0"/>
        <w:jc w:val="both"/>
        <w:rPr>
          <w:rFonts w:ascii="Times New Roman" w:hAnsi="Times New Roman" w:cs="Times New Roman"/>
          <w:b/>
          <w:sz w:val="28"/>
          <w:szCs w:val="28"/>
        </w:rPr>
      </w:pPr>
      <w:r w:rsidRPr="00B8592C">
        <w:rPr>
          <w:rFonts w:ascii="Times New Roman" w:hAnsi="Times New Roman" w:cs="Vrinda"/>
          <w:b/>
          <w:sz w:val="28"/>
          <w:szCs w:val="28"/>
          <w:lang w:bidi="bn-BD"/>
        </w:rPr>
        <w:t>3.3.</w:t>
      </w:r>
      <w:r w:rsidRPr="00B8592C">
        <w:rPr>
          <w:rFonts w:ascii="Times New Roman" w:hAnsi="Times New Roman" w:cs="Times New Roman"/>
          <w:b/>
          <w:sz w:val="28"/>
          <w:szCs w:val="28"/>
        </w:rPr>
        <w:t xml:space="preserve"> Direct and Indirect Green Finance during 2012 – 2015</w:t>
      </w:r>
    </w:p>
    <w:p w:rsidR="00B8592C" w:rsidRPr="00B8592C" w:rsidRDefault="00B8592C" w:rsidP="00B8592C">
      <w:pPr>
        <w:spacing w:after="0"/>
        <w:jc w:val="both"/>
        <w:rPr>
          <w:rFonts w:ascii="Times New Roman" w:hAnsi="Times New Roman" w:cs="Vrinda"/>
          <w:szCs w:val="28"/>
          <w:lang w:bidi="bn-BD"/>
        </w:rPr>
      </w:pPr>
      <w:r w:rsidRPr="00B8592C">
        <w:rPr>
          <w:rFonts w:ascii="Times New Roman" w:hAnsi="Times New Roman" w:cs="Times New Roman"/>
          <w:sz w:val="24"/>
          <w:szCs w:val="28"/>
        </w:rPr>
        <w:t>Given below the table or amount of money which is invested for direct and indirect finance during 2012 to 2015:</w:t>
      </w:r>
    </w:p>
    <w:p w:rsidR="00B8592C" w:rsidRPr="00B8592C" w:rsidRDefault="00B8592C" w:rsidP="00B8592C">
      <w:pPr>
        <w:spacing w:after="0"/>
        <w:rPr>
          <w:rFonts w:ascii="Times New Roman" w:hAnsi="Times New Roman" w:cs="Vrinda"/>
          <w:sz w:val="24"/>
          <w:szCs w:val="28"/>
          <w:lang w:bidi="bn-BD"/>
        </w:rPr>
      </w:pPr>
    </w:p>
    <w:p w:rsidR="00B8592C" w:rsidRPr="00B8592C" w:rsidRDefault="00B8592C" w:rsidP="00B8592C">
      <w:pPr>
        <w:spacing w:after="0"/>
        <w:jc w:val="center"/>
        <w:rPr>
          <w:rFonts w:ascii="Times New Roman" w:hAnsi="Times New Roman" w:cs="Vrinda"/>
          <w:b/>
          <w:sz w:val="18"/>
          <w:szCs w:val="28"/>
          <w:lang w:bidi="bn-BD"/>
        </w:rPr>
      </w:pPr>
      <w:r w:rsidRPr="00B8592C">
        <w:rPr>
          <w:rFonts w:ascii="Times New Roman" w:hAnsi="Times New Roman" w:cs="Times New Roman"/>
          <w:b/>
          <w:sz w:val="20"/>
          <w:szCs w:val="28"/>
        </w:rPr>
        <w:t xml:space="preserve">3.3. Table: Direct and Indirect Green Finance </w:t>
      </w:r>
      <w:proofErr w:type="gramStart"/>
      <w:r w:rsidRPr="00B8592C">
        <w:rPr>
          <w:rFonts w:ascii="Times New Roman" w:hAnsi="Times New Roman" w:cs="Times New Roman"/>
          <w:b/>
          <w:sz w:val="20"/>
          <w:szCs w:val="28"/>
        </w:rPr>
        <w:t>During</w:t>
      </w:r>
      <w:proofErr w:type="gramEnd"/>
      <w:r w:rsidRPr="00B8592C">
        <w:rPr>
          <w:rFonts w:ascii="Times New Roman" w:hAnsi="Times New Roman" w:cs="Times New Roman"/>
          <w:b/>
          <w:sz w:val="20"/>
          <w:szCs w:val="28"/>
        </w:rPr>
        <w:t xml:space="preserve"> 2012 – 2015</w:t>
      </w:r>
    </w:p>
    <w:tbl>
      <w:tblPr>
        <w:tblStyle w:val="TableGrid"/>
        <w:tblW w:w="10611" w:type="dxa"/>
        <w:jc w:val="center"/>
        <w:tblInd w:w="-1365" w:type="dxa"/>
        <w:tblLayout w:type="fixed"/>
        <w:tblLook w:val="04A0" w:firstRow="1" w:lastRow="0" w:firstColumn="1" w:lastColumn="0" w:noHBand="0" w:noVBand="1"/>
      </w:tblPr>
      <w:tblGrid>
        <w:gridCol w:w="857"/>
        <w:gridCol w:w="883"/>
        <w:gridCol w:w="798"/>
        <w:gridCol w:w="798"/>
        <w:gridCol w:w="799"/>
        <w:gridCol w:w="798"/>
        <w:gridCol w:w="798"/>
        <w:gridCol w:w="710"/>
        <w:gridCol w:w="799"/>
        <w:gridCol w:w="887"/>
        <w:gridCol w:w="887"/>
        <w:gridCol w:w="798"/>
        <w:gridCol w:w="799"/>
      </w:tblGrid>
      <w:tr w:rsidR="00B8592C" w:rsidRPr="00B8592C" w:rsidTr="00B8592C">
        <w:trPr>
          <w:trHeight w:val="755"/>
          <w:jc w:val="center"/>
        </w:trPr>
        <w:tc>
          <w:tcPr>
            <w:tcW w:w="857" w:type="dxa"/>
            <w:vMerge w:val="restart"/>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lastRenderedPageBreak/>
              <w:t>Bank Category</w:t>
            </w:r>
          </w:p>
        </w:tc>
        <w:tc>
          <w:tcPr>
            <w:tcW w:w="3278" w:type="dxa"/>
            <w:gridSpan w:val="4"/>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t>Direct Green Finance</w:t>
            </w:r>
          </w:p>
        </w:tc>
        <w:tc>
          <w:tcPr>
            <w:tcW w:w="3105" w:type="dxa"/>
            <w:gridSpan w:val="4"/>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t>Indirect Green Finance</w:t>
            </w:r>
          </w:p>
        </w:tc>
        <w:tc>
          <w:tcPr>
            <w:tcW w:w="3371" w:type="dxa"/>
            <w:gridSpan w:val="4"/>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t>Total</w:t>
            </w:r>
          </w:p>
        </w:tc>
      </w:tr>
      <w:tr w:rsidR="00B8592C" w:rsidRPr="00B8592C" w:rsidTr="00B8592C">
        <w:trPr>
          <w:trHeight w:val="202"/>
          <w:jc w:val="center"/>
        </w:trPr>
        <w:tc>
          <w:tcPr>
            <w:tcW w:w="857" w:type="dxa"/>
            <w:vMerge/>
          </w:tcPr>
          <w:p w:rsidR="00B8592C" w:rsidRPr="00B8592C" w:rsidRDefault="00B8592C" w:rsidP="00B8592C">
            <w:pPr>
              <w:jc w:val="both"/>
              <w:rPr>
                <w:rFonts w:ascii="Times New Roman" w:hAnsi="Times New Roman" w:cs="Times New Roman"/>
                <w:b/>
                <w:color w:val="00B050"/>
                <w:sz w:val="20"/>
                <w:szCs w:val="20"/>
              </w:rPr>
            </w:pPr>
          </w:p>
        </w:tc>
        <w:tc>
          <w:tcPr>
            <w:tcW w:w="883" w:type="dxa"/>
            <w:tcBorders>
              <w:right w:val="single" w:sz="4" w:space="0" w:color="auto"/>
            </w:tcBorders>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t>2012</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t>2013</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t>2014</w:t>
            </w:r>
          </w:p>
        </w:tc>
        <w:tc>
          <w:tcPr>
            <w:tcW w:w="799" w:type="dxa"/>
            <w:tcBorders>
              <w:left w:val="single" w:sz="4" w:space="0" w:color="auto"/>
            </w:tcBorders>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t>2015</w:t>
            </w:r>
          </w:p>
        </w:tc>
        <w:tc>
          <w:tcPr>
            <w:tcW w:w="798" w:type="dxa"/>
            <w:tcBorders>
              <w:right w:val="single" w:sz="4" w:space="0" w:color="auto"/>
            </w:tcBorders>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t>2012</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t>2013</w:t>
            </w:r>
          </w:p>
        </w:tc>
        <w:tc>
          <w:tcPr>
            <w:tcW w:w="710"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t>2014</w:t>
            </w:r>
          </w:p>
        </w:tc>
        <w:tc>
          <w:tcPr>
            <w:tcW w:w="799" w:type="dxa"/>
            <w:tcBorders>
              <w:left w:val="single" w:sz="4" w:space="0" w:color="auto"/>
            </w:tcBorders>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t>2015</w:t>
            </w:r>
          </w:p>
        </w:tc>
        <w:tc>
          <w:tcPr>
            <w:tcW w:w="887" w:type="dxa"/>
            <w:tcBorders>
              <w:right w:val="single" w:sz="4" w:space="0" w:color="auto"/>
            </w:tcBorders>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t>2012</w:t>
            </w:r>
          </w:p>
        </w:tc>
        <w:tc>
          <w:tcPr>
            <w:tcW w:w="887"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t>2013</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t>2014</w:t>
            </w:r>
          </w:p>
        </w:tc>
        <w:tc>
          <w:tcPr>
            <w:tcW w:w="799" w:type="dxa"/>
            <w:tcBorders>
              <w:left w:val="single" w:sz="4" w:space="0" w:color="auto"/>
            </w:tcBorders>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t>2015</w:t>
            </w:r>
          </w:p>
        </w:tc>
      </w:tr>
      <w:tr w:rsidR="00B8592C" w:rsidRPr="00B8592C" w:rsidTr="00B8592C">
        <w:trPr>
          <w:trHeight w:val="755"/>
          <w:jc w:val="center"/>
        </w:trPr>
        <w:tc>
          <w:tcPr>
            <w:tcW w:w="857" w:type="dxa"/>
          </w:tcPr>
          <w:p w:rsidR="00B8592C" w:rsidRPr="00B8592C" w:rsidRDefault="00B8592C" w:rsidP="00B8592C">
            <w:pPr>
              <w:jc w:val="center"/>
              <w:rPr>
                <w:rFonts w:ascii="Times New Roman" w:hAnsi="Times New Roman" w:cs="Times New Roman"/>
                <w:sz w:val="24"/>
                <w:szCs w:val="20"/>
              </w:rPr>
            </w:pPr>
            <w:r w:rsidRPr="00B8592C">
              <w:rPr>
                <w:rFonts w:ascii="Times New Roman" w:hAnsi="Times New Roman" w:cs="Times New Roman"/>
                <w:sz w:val="24"/>
                <w:szCs w:val="20"/>
              </w:rPr>
              <w:t>SCBs</w:t>
            </w:r>
          </w:p>
          <w:p w:rsidR="00B8592C" w:rsidRPr="00B8592C" w:rsidRDefault="00B8592C" w:rsidP="00B8592C">
            <w:pPr>
              <w:jc w:val="center"/>
              <w:rPr>
                <w:rFonts w:ascii="Times New Roman" w:hAnsi="Times New Roman" w:cs="Times New Roman"/>
                <w:sz w:val="24"/>
                <w:szCs w:val="20"/>
              </w:rPr>
            </w:pPr>
          </w:p>
        </w:tc>
        <w:tc>
          <w:tcPr>
            <w:tcW w:w="883" w:type="dxa"/>
            <w:tcBorders>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3513.10</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2136.83</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2398.69</w:t>
            </w:r>
          </w:p>
        </w:tc>
        <w:tc>
          <w:tcPr>
            <w:tcW w:w="799" w:type="dxa"/>
            <w:tcBorders>
              <w:lef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2233.65</w:t>
            </w:r>
          </w:p>
        </w:tc>
        <w:tc>
          <w:tcPr>
            <w:tcW w:w="798" w:type="dxa"/>
            <w:tcBorders>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2994.15</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1111.18</w:t>
            </w:r>
          </w:p>
        </w:tc>
        <w:tc>
          <w:tcPr>
            <w:tcW w:w="710"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2826.13</w:t>
            </w:r>
          </w:p>
        </w:tc>
        <w:tc>
          <w:tcPr>
            <w:tcW w:w="799" w:type="dxa"/>
            <w:tcBorders>
              <w:lef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519.1</w:t>
            </w:r>
          </w:p>
        </w:tc>
        <w:tc>
          <w:tcPr>
            <w:tcW w:w="887" w:type="dxa"/>
            <w:tcBorders>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6507.25</w:t>
            </w:r>
          </w:p>
        </w:tc>
        <w:tc>
          <w:tcPr>
            <w:tcW w:w="887"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3248.01</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5224.82</w:t>
            </w:r>
          </w:p>
        </w:tc>
        <w:tc>
          <w:tcPr>
            <w:tcW w:w="799" w:type="dxa"/>
            <w:tcBorders>
              <w:lef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2752.75</w:t>
            </w:r>
          </w:p>
        </w:tc>
      </w:tr>
      <w:tr w:rsidR="00B8592C" w:rsidRPr="00B8592C" w:rsidTr="00B8592C">
        <w:trPr>
          <w:trHeight w:val="755"/>
          <w:jc w:val="center"/>
        </w:trPr>
        <w:tc>
          <w:tcPr>
            <w:tcW w:w="857" w:type="dxa"/>
          </w:tcPr>
          <w:p w:rsidR="00B8592C" w:rsidRPr="00B8592C" w:rsidRDefault="00B8592C" w:rsidP="00B8592C">
            <w:pPr>
              <w:jc w:val="center"/>
              <w:rPr>
                <w:rFonts w:ascii="Times New Roman" w:hAnsi="Times New Roman" w:cs="Times New Roman"/>
                <w:sz w:val="24"/>
                <w:szCs w:val="20"/>
              </w:rPr>
            </w:pPr>
            <w:r w:rsidRPr="00B8592C">
              <w:rPr>
                <w:rFonts w:ascii="Times New Roman" w:hAnsi="Times New Roman" w:cs="Times New Roman"/>
                <w:sz w:val="24"/>
                <w:szCs w:val="20"/>
              </w:rPr>
              <w:t>PCBs</w:t>
            </w:r>
          </w:p>
          <w:p w:rsidR="00B8592C" w:rsidRPr="00B8592C" w:rsidRDefault="00B8592C" w:rsidP="00B8592C">
            <w:pPr>
              <w:jc w:val="center"/>
              <w:rPr>
                <w:rFonts w:ascii="Times New Roman" w:hAnsi="Times New Roman" w:cs="Times New Roman"/>
                <w:sz w:val="24"/>
                <w:szCs w:val="20"/>
              </w:rPr>
            </w:pPr>
          </w:p>
        </w:tc>
        <w:tc>
          <w:tcPr>
            <w:tcW w:w="883" w:type="dxa"/>
            <w:tcBorders>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5623.74</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26565.52</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16861.4</w:t>
            </w:r>
          </w:p>
        </w:tc>
        <w:tc>
          <w:tcPr>
            <w:tcW w:w="799" w:type="dxa"/>
            <w:tcBorders>
              <w:lef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12423.2</w:t>
            </w:r>
          </w:p>
        </w:tc>
        <w:tc>
          <w:tcPr>
            <w:tcW w:w="798" w:type="dxa"/>
            <w:tcBorders>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173187.17</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236243.68</w:t>
            </w:r>
          </w:p>
        </w:tc>
        <w:tc>
          <w:tcPr>
            <w:tcW w:w="710"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303589.31</w:t>
            </w:r>
          </w:p>
        </w:tc>
        <w:tc>
          <w:tcPr>
            <w:tcW w:w="799" w:type="dxa"/>
            <w:tcBorders>
              <w:lef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232161.63</w:t>
            </w:r>
          </w:p>
        </w:tc>
        <w:tc>
          <w:tcPr>
            <w:tcW w:w="887" w:type="dxa"/>
            <w:tcBorders>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178810.91</w:t>
            </w:r>
          </w:p>
        </w:tc>
        <w:tc>
          <w:tcPr>
            <w:tcW w:w="887"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262809.2</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320450.71</w:t>
            </w:r>
          </w:p>
        </w:tc>
        <w:tc>
          <w:tcPr>
            <w:tcW w:w="799" w:type="dxa"/>
            <w:tcBorders>
              <w:lef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244584.83</w:t>
            </w:r>
          </w:p>
        </w:tc>
      </w:tr>
      <w:tr w:rsidR="00B8592C" w:rsidRPr="00B8592C" w:rsidTr="00B8592C">
        <w:trPr>
          <w:trHeight w:val="755"/>
          <w:jc w:val="center"/>
        </w:trPr>
        <w:tc>
          <w:tcPr>
            <w:tcW w:w="857" w:type="dxa"/>
          </w:tcPr>
          <w:p w:rsidR="00B8592C" w:rsidRPr="00B8592C" w:rsidRDefault="00B8592C" w:rsidP="00B8592C">
            <w:pPr>
              <w:jc w:val="center"/>
              <w:rPr>
                <w:rFonts w:ascii="Times New Roman" w:hAnsi="Times New Roman" w:cs="Times New Roman"/>
                <w:sz w:val="24"/>
                <w:szCs w:val="20"/>
              </w:rPr>
            </w:pPr>
            <w:r w:rsidRPr="00B8592C">
              <w:rPr>
                <w:rFonts w:ascii="Times New Roman" w:hAnsi="Times New Roman" w:cs="Times New Roman"/>
                <w:sz w:val="24"/>
                <w:szCs w:val="20"/>
              </w:rPr>
              <w:t>FCBs</w:t>
            </w:r>
          </w:p>
          <w:p w:rsidR="00B8592C" w:rsidRPr="00B8592C" w:rsidRDefault="00B8592C" w:rsidP="00B8592C">
            <w:pPr>
              <w:jc w:val="center"/>
              <w:rPr>
                <w:rFonts w:ascii="Times New Roman" w:hAnsi="Times New Roman" w:cs="Times New Roman"/>
                <w:sz w:val="24"/>
                <w:szCs w:val="20"/>
              </w:rPr>
            </w:pPr>
          </w:p>
        </w:tc>
        <w:tc>
          <w:tcPr>
            <w:tcW w:w="883" w:type="dxa"/>
            <w:tcBorders>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881.28</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715.33</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12230.2</w:t>
            </w:r>
          </w:p>
        </w:tc>
        <w:tc>
          <w:tcPr>
            <w:tcW w:w="799" w:type="dxa"/>
            <w:tcBorders>
              <w:lef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976.52</w:t>
            </w:r>
          </w:p>
        </w:tc>
        <w:tc>
          <w:tcPr>
            <w:tcW w:w="798" w:type="dxa"/>
            <w:tcBorders>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76517.03</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77968.72</w:t>
            </w:r>
          </w:p>
        </w:tc>
        <w:tc>
          <w:tcPr>
            <w:tcW w:w="710"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75676.04</w:t>
            </w:r>
          </w:p>
        </w:tc>
        <w:tc>
          <w:tcPr>
            <w:tcW w:w="799" w:type="dxa"/>
            <w:tcBorders>
              <w:lef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47301.02</w:t>
            </w:r>
          </w:p>
        </w:tc>
        <w:tc>
          <w:tcPr>
            <w:tcW w:w="887" w:type="dxa"/>
            <w:tcBorders>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77398.31</w:t>
            </w:r>
          </w:p>
        </w:tc>
        <w:tc>
          <w:tcPr>
            <w:tcW w:w="887"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78684.05</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87906.24</w:t>
            </w:r>
          </w:p>
        </w:tc>
        <w:tc>
          <w:tcPr>
            <w:tcW w:w="799" w:type="dxa"/>
            <w:tcBorders>
              <w:lef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48277.54</w:t>
            </w:r>
          </w:p>
        </w:tc>
      </w:tr>
      <w:tr w:rsidR="00B8592C" w:rsidRPr="00B8592C" w:rsidTr="00B8592C">
        <w:trPr>
          <w:trHeight w:val="755"/>
          <w:jc w:val="center"/>
        </w:trPr>
        <w:tc>
          <w:tcPr>
            <w:tcW w:w="857" w:type="dxa"/>
          </w:tcPr>
          <w:p w:rsidR="00B8592C" w:rsidRPr="00B8592C" w:rsidRDefault="00B8592C" w:rsidP="00B8592C">
            <w:pPr>
              <w:jc w:val="center"/>
              <w:rPr>
                <w:rFonts w:ascii="Times New Roman" w:hAnsi="Times New Roman" w:cs="Times New Roman"/>
                <w:sz w:val="24"/>
                <w:szCs w:val="20"/>
              </w:rPr>
            </w:pPr>
            <w:r w:rsidRPr="00B8592C">
              <w:rPr>
                <w:rFonts w:ascii="Times New Roman" w:hAnsi="Times New Roman" w:cs="Times New Roman"/>
                <w:sz w:val="24"/>
                <w:szCs w:val="20"/>
              </w:rPr>
              <w:t>SDBs</w:t>
            </w:r>
          </w:p>
          <w:p w:rsidR="00B8592C" w:rsidRPr="00B8592C" w:rsidRDefault="00B8592C" w:rsidP="00B8592C">
            <w:pPr>
              <w:jc w:val="center"/>
              <w:rPr>
                <w:rFonts w:ascii="Times New Roman" w:hAnsi="Times New Roman" w:cs="Times New Roman"/>
                <w:sz w:val="24"/>
                <w:szCs w:val="20"/>
              </w:rPr>
            </w:pPr>
          </w:p>
        </w:tc>
        <w:tc>
          <w:tcPr>
            <w:tcW w:w="883" w:type="dxa"/>
            <w:tcBorders>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1803.36</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264.95</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174.59</w:t>
            </w:r>
          </w:p>
        </w:tc>
        <w:tc>
          <w:tcPr>
            <w:tcW w:w="799"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13.6</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6401.70</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3119.28</w:t>
            </w:r>
          </w:p>
        </w:tc>
        <w:tc>
          <w:tcPr>
            <w:tcW w:w="710"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920.85</w:t>
            </w:r>
          </w:p>
        </w:tc>
        <w:tc>
          <w:tcPr>
            <w:tcW w:w="799" w:type="dxa"/>
            <w:tcBorders>
              <w:lef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0.00</w:t>
            </w:r>
          </w:p>
        </w:tc>
        <w:tc>
          <w:tcPr>
            <w:tcW w:w="887" w:type="dxa"/>
            <w:tcBorders>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8205.06</w:t>
            </w:r>
          </w:p>
        </w:tc>
        <w:tc>
          <w:tcPr>
            <w:tcW w:w="887"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3384.23</w:t>
            </w:r>
          </w:p>
        </w:tc>
        <w:tc>
          <w:tcPr>
            <w:tcW w:w="798" w:type="dxa"/>
            <w:tcBorders>
              <w:left w:val="single" w:sz="4" w:space="0" w:color="auto"/>
              <w:righ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1095.44</w:t>
            </w:r>
          </w:p>
        </w:tc>
        <w:tc>
          <w:tcPr>
            <w:tcW w:w="799" w:type="dxa"/>
            <w:tcBorders>
              <w:left w:val="single" w:sz="4" w:space="0" w:color="auto"/>
            </w:tcBorders>
          </w:tcPr>
          <w:p w:rsidR="00B8592C" w:rsidRPr="00B8592C" w:rsidRDefault="00B8592C" w:rsidP="00B8592C">
            <w:pPr>
              <w:jc w:val="center"/>
              <w:rPr>
                <w:rFonts w:ascii="Times New Roman" w:hAnsi="Times New Roman" w:cs="Times New Roman"/>
                <w:sz w:val="20"/>
                <w:szCs w:val="20"/>
              </w:rPr>
            </w:pPr>
            <w:r w:rsidRPr="00B8592C">
              <w:rPr>
                <w:rFonts w:ascii="Times New Roman" w:hAnsi="Times New Roman" w:cs="Times New Roman"/>
                <w:sz w:val="20"/>
                <w:szCs w:val="20"/>
              </w:rPr>
              <w:t>13.6</w:t>
            </w:r>
          </w:p>
        </w:tc>
      </w:tr>
      <w:tr w:rsidR="00B8592C" w:rsidRPr="00B8592C" w:rsidTr="00B8592C">
        <w:trPr>
          <w:trHeight w:val="776"/>
          <w:jc w:val="center"/>
        </w:trPr>
        <w:tc>
          <w:tcPr>
            <w:tcW w:w="857" w:type="dxa"/>
          </w:tcPr>
          <w:p w:rsidR="00B8592C" w:rsidRPr="00B8592C" w:rsidRDefault="00B8592C" w:rsidP="00B8592C">
            <w:pPr>
              <w:jc w:val="center"/>
              <w:rPr>
                <w:rFonts w:ascii="Times New Roman" w:hAnsi="Times New Roman" w:cs="Times New Roman"/>
                <w:b/>
                <w:sz w:val="24"/>
                <w:szCs w:val="20"/>
              </w:rPr>
            </w:pPr>
            <w:r w:rsidRPr="00B8592C">
              <w:rPr>
                <w:rFonts w:ascii="Times New Roman" w:hAnsi="Times New Roman" w:cs="Times New Roman"/>
                <w:b/>
                <w:sz w:val="24"/>
                <w:szCs w:val="20"/>
              </w:rPr>
              <w:t>Total</w:t>
            </w:r>
          </w:p>
          <w:p w:rsidR="00B8592C" w:rsidRPr="00B8592C" w:rsidRDefault="00B8592C" w:rsidP="00B8592C">
            <w:pPr>
              <w:jc w:val="center"/>
              <w:rPr>
                <w:rFonts w:ascii="Times New Roman" w:hAnsi="Times New Roman" w:cs="Times New Roman"/>
                <w:sz w:val="24"/>
                <w:szCs w:val="20"/>
              </w:rPr>
            </w:pPr>
          </w:p>
        </w:tc>
        <w:tc>
          <w:tcPr>
            <w:tcW w:w="883" w:type="dxa"/>
            <w:tcBorders>
              <w:right w:val="single" w:sz="4" w:space="0" w:color="auto"/>
            </w:tcBorders>
          </w:tcPr>
          <w:p w:rsidR="00B8592C" w:rsidRPr="00B8592C" w:rsidRDefault="00B8592C" w:rsidP="00B8592C">
            <w:pPr>
              <w:jc w:val="both"/>
              <w:rPr>
                <w:rFonts w:ascii="Times New Roman" w:hAnsi="Times New Roman" w:cs="Times New Roman"/>
                <w:b/>
                <w:sz w:val="20"/>
                <w:szCs w:val="20"/>
              </w:rPr>
            </w:pPr>
            <w:r w:rsidRPr="00B8592C">
              <w:rPr>
                <w:rFonts w:ascii="Times New Roman" w:hAnsi="Times New Roman" w:cs="Times New Roman"/>
                <w:b/>
                <w:sz w:val="20"/>
                <w:szCs w:val="20"/>
              </w:rPr>
              <w:t>11821.48</w:t>
            </w:r>
          </w:p>
        </w:tc>
        <w:tc>
          <w:tcPr>
            <w:tcW w:w="798" w:type="dxa"/>
            <w:tcBorders>
              <w:left w:val="single" w:sz="4" w:space="0" w:color="auto"/>
              <w:right w:val="single" w:sz="4" w:space="0" w:color="auto"/>
            </w:tcBorders>
          </w:tcPr>
          <w:p w:rsidR="00B8592C" w:rsidRPr="00B8592C" w:rsidRDefault="00B8592C" w:rsidP="00B8592C">
            <w:pPr>
              <w:jc w:val="both"/>
              <w:rPr>
                <w:rFonts w:ascii="Times New Roman" w:hAnsi="Times New Roman" w:cs="Times New Roman"/>
                <w:b/>
                <w:sz w:val="20"/>
                <w:szCs w:val="20"/>
              </w:rPr>
            </w:pPr>
            <w:r w:rsidRPr="00B8592C">
              <w:rPr>
                <w:rFonts w:ascii="Times New Roman" w:hAnsi="Times New Roman" w:cs="Times New Roman"/>
                <w:b/>
                <w:sz w:val="20"/>
                <w:szCs w:val="20"/>
              </w:rPr>
              <w:t>29682.63</w:t>
            </w:r>
          </w:p>
        </w:tc>
        <w:tc>
          <w:tcPr>
            <w:tcW w:w="798" w:type="dxa"/>
            <w:tcBorders>
              <w:left w:val="single" w:sz="4" w:space="0" w:color="auto"/>
              <w:right w:val="single" w:sz="4" w:space="0" w:color="auto"/>
            </w:tcBorders>
          </w:tcPr>
          <w:p w:rsidR="00B8592C" w:rsidRPr="00B8592C" w:rsidRDefault="00B8592C" w:rsidP="00B8592C">
            <w:pPr>
              <w:jc w:val="both"/>
              <w:rPr>
                <w:rFonts w:ascii="Times New Roman" w:hAnsi="Times New Roman" w:cs="Times New Roman"/>
                <w:b/>
                <w:sz w:val="20"/>
                <w:szCs w:val="20"/>
              </w:rPr>
            </w:pPr>
            <w:r w:rsidRPr="00B8592C">
              <w:rPr>
                <w:rFonts w:ascii="Times New Roman" w:hAnsi="Times New Roman" w:cs="Times New Roman"/>
                <w:b/>
                <w:sz w:val="20"/>
                <w:szCs w:val="20"/>
              </w:rPr>
              <w:t>31664.88</w:t>
            </w:r>
          </w:p>
        </w:tc>
        <w:tc>
          <w:tcPr>
            <w:tcW w:w="799" w:type="dxa"/>
            <w:tcBorders>
              <w:left w:val="single" w:sz="4" w:space="0" w:color="auto"/>
              <w:right w:val="single" w:sz="4" w:space="0" w:color="auto"/>
            </w:tcBorders>
          </w:tcPr>
          <w:p w:rsidR="00B8592C" w:rsidRPr="00B8592C" w:rsidRDefault="00B8592C" w:rsidP="00B8592C">
            <w:pPr>
              <w:jc w:val="both"/>
              <w:rPr>
                <w:rFonts w:ascii="Times New Roman" w:hAnsi="Times New Roman" w:cs="Times New Roman"/>
                <w:b/>
                <w:sz w:val="20"/>
                <w:szCs w:val="20"/>
              </w:rPr>
            </w:pPr>
            <w:r w:rsidRPr="00B8592C">
              <w:rPr>
                <w:rFonts w:ascii="Times New Roman" w:hAnsi="Times New Roman" w:cs="Times New Roman"/>
                <w:b/>
                <w:sz w:val="20"/>
                <w:szCs w:val="20"/>
              </w:rPr>
              <w:t>15646.97</w:t>
            </w:r>
          </w:p>
        </w:tc>
        <w:tc>
          <w:tcPr>
            <w:tcW w:w="798" w:type="dxa"/>
            <w:tcBorders>
              <w:left w:val="single" w:sz="4" w:space="0" w:color="auto"/>
              <w:right w:val="single" w:sz="4" w:space="0" w:color="auto"/>
            </w:tcBorders>
          </w:tcPr>
          <w:p w:rsidR="00B8592C" w:rsidRPr="00B8592C" w:rsidRDefault="00B8592C" w:rsidP="00B8592C">
            <w:pPr>
              <w:jc w:val="both"/>
              <w:rPr>
                <w:rFonts w:ascii="Times New Roman" w:hAnsi="Times New Roman" w:cs="Times New Roman"/>
                <w:b/>
                <w:sz w:val="20"/>
                <w:szCs w:val="20"/>
              </w:rPr>
            </w:pPr>
            <w:r w:rsidRPr="00B8592C">
              <w:rPr>
                <w:rFonts w:ascii="Times New Roman" w:hAnsi="Times New Roman" w:cs="Times New Roman"/>
                <w:b/>
                <w:sz w:val="20"/>
                <w:szCs w:val="20"/>
              </w:rPr>
              <w:t>259100.05</w:t>
            </w:r>
          </w:p>
        </w:tc>
        <w:tc>
          <w:tcPr>
            <w:tcW w:w="798" w:type="dxa"/>
            <w:tcBorders>
              <w:left w:val="single" w:sz="4" w:space="0" w:color="auto"/>
              <w:right w:val="single" w:sz="4" w:space="0" w:color="auto"/>
            </w:tcBorders>
          </w:tcPr>
          <w:p w:rsidR="00B8592C" w:rsidRPr="00B8592C" w:rsidRDefault="00B8592C" w:rsidP="00B8592C">
            <w:pPr>
              <w:jc w:val="both"/>
              <w:rPr>
                <w:rFonts w:ascii="Times New Roman" w:hAnsi="Times New Roman" w:cs="Times New Roman"/>
                <w:b/>
                <w:sz w:val="20"/>
                <w:szCs w:val="20"/>
              </w:rPr>
            </w:pPr>
            <w:r w:rsidRPr="00B8592C">
              <w:rPr>
                <w:rFonts w:ascii="Times New Roman" w:hAnsi="Times New Roman" w:cs="Times New Roman"/>
                <w:b/>
                <w:sz w:val="20"/>
                <w:szCs w:val="20"/>
              </w:rPr>
              <w:t>318442.86</w:t>
            </w:r>
          </w:p>
        </w:tc>
        <w:tc>
          <w:tcPr>
            <w:tcW w:w="710" w:type="dxa"/>
            <w:tcBorders>
              <w:left w:val="single" w:sz="4" w:space="0" w:color="auto"/>
              <w:right w:val="single" w:sz="4" w:space="0" w:color="auto"/>
            </w:tcBorders>
          </w:tcPr>
          <w:p w:rsidR="00B8592C" w:rsidRPr="00B8592C" w:rsidRDefault="00B8592C" w:rsidP="00B8592C">
            <w:pPr>
              <w:jc w:val="both"/>
              <w:rPr>
                <w:rFonts w:ascii="Times New Roman" w:hAnsi="Times New Roman" w:cs="Times New Roman"/>
                <w:b/>
                <w:sz w:val="20"/>
                <w:szCs w:val="20"/>
              </w:rPr>
            </w:pPr>
            <w:r w:rsidRPr="00B8592C">
              <w:rPr>
                <w:rFonts w:ascii="Times New Roman" w:hAnsi="Times New Roman" w:cs="Times New Roman"/>
                <w:b/>
                <w:sz w:val="20"/>
                <w:szCs w:val="20"/>
              </w:rPr>
              <w:t>383012.33</w:t>
            </w:r>
          </w:p>
        </w:tc>
        <w:tc>
          <w:tcPr>
            <w:tcW w:w="799" w:type="dxa"/>
            <w:tcBorders>
              <w:left w:val="single" w:sz="4" w:space="0" w:color="auto"/>
            </w:tcBorders>
          </w:tcPr>
          <w:p w:rsidR="00B8592C" w:rsidRPr="00B8592C" w:rsidRDefault="00B8592C" w:rsidP="00B8592C">
            <w:pPr>
              <w:jc w:val="both"/>
              <w:rPr>
                <w:rFonts w:ascii="Times New Roman" w:hAnsi="Times New Roman" w:cs="Times New Roman"/>
                <w:b/>
                <w:sz w:val="20"/>
                <w:szCs w:val="20"/>
              </w:rPr>
            </w:pPr>
            <w:r w:rsidRPr="00B8592C">
              <w:rPr>
                <w:rFonts w:ascii="Times New Roman" w:hAnsi="Times New Roman" w:cs="Times New Roman"/>
                <w:b/>
                <w:sz w:val="20"/>
                <w:szCs w:val="20"/>
              </w:rPr>
              <w:t>279981.75</w:t>
            </w:r>
          </w:p>
        </w:tc>
        <w:tc>
          <w:tcPr>
            <w:tcW w:w="887" w:type="dxa"/>
            <w:tcBorders>
              <w:right w:val="single" w:sz="4" w:space="0" w:color="auto"/>
            </w:tcBorders>
          </w:tcPr>
          <w:p w:rsidR="00B8592C" w:rsidRPr="00B8592C" w:rsidRDefault="00B8592C" w:rsidP="00B8592C">
            <w:pPr>
              <w:jc w:val="both"/>
              <w:rPr>
                <w:rFonts w:ascii="Times New Roman" w:hAnsi="Times New Roman" w:cs="Times New Roman"/>
                <w:b/>
                <w:sz w:val="20"/>
                <w:szCs w:val="20"/>
              </w:rPr>
            </w:pPr>
            <w:r w:rsidRPr="00B8592C">
              <w:rPr>
                <w:rFonts w:ascii="Times New Roman" w:hAnsi="Times New Roman" w:cs="Times New Roman"/>
                <w:b/>
                <w:sz w:val="20"/>
                <w:szCs w:val="20"/>
              </w:rPr>
              <w:t>270921.53</w:t>
            </w:r>
          </w:p>
        </w:tc>
        <w:tc>
          <w:tcPr>
            <w:tcW w:w="887" w:type="dxa"/>
            <w:tcBorders>
              <w:left w:val="single" w:sz="4" w:space="0" w:color="auto"/>
              <w:right w:val="single" w:sz="4" w:space="0" w:color="auto"/>
            </w:tcBorders>
          </w:tcPr>
          <w:p w:rsidR="00B8592C" w:rsidRPr="00B8592C" w:rsidRDefault="00B8592C" w:rsidP="00B8592C">
            <w:pPr>
              <w:jc w:val="both"/>
              <w:rPr>
                <w:rFonts w:ascii="Times New Roman" w:hAnsi="Times New Roman" w:cs="Times New Roman"/>
                <w:b/>
                <w:sz w:val="20"/>
                <w:szCs w:val="20"/>
              </w:rPr>
            </w:pPr>
            <w:r w:rsidRPr="00B8592C">
              <w:rPr>
                <w:rFonts w:ascii="Times New Roman" w:hAnsi="Times New Roman" w:cs="Times New Roman"/>
                <w:b/>
                <w:sz w:val="20"/>
                <w:szCs w:val="20"/>
              </w:rPr>
              <w:t>348125.49</w:t>
            </w:r>
          </w:p>
        </w:tc>
        <w:tc>
          <w:tcPr>
            <w:tcW w:w="798" w:type="dxa"/>
            <w:tcBorders>
              <w:left w:val="single" w:sz="4" w:space="0" w:color="auto"/>
              <w:right w:val="single" w:sz="4" w:space="0" w:color="auto"/>
            </w:tcBorders>
          </w:tcPr>
          <w:p w:rsidR="00B8592C" w:rsidRPr="00B8592C" w:rsidRDefault="00B8592C" w:rsidP="00B8592C">
            <w:pPr>
              <w:jc w:val="both"/>
              <w:rPr>
                <w:rFonts w:ascii="Times New Roman" w:hAnsi="Times New Roman" w:cs="Times New Roman"/>
                <w:b/>
                <w:sz w:val="20"/>
                <w:szCs w:val="20"/>
              </w:rPr>
            </w:pPr>
            <w:r w:rsidRPr="00B8592C">
              <w:rPr>
                <w:rFonts w:ascii="Times New Roman" w:hAnsi="Times New Roman" w:cs="Times New Roman"/>
                <w:b/>
                <w:sz w:val="20"/>
                <w:szCs w:val="20"/>
              </w:rPr>
              <w:t>414677.21</w:t>
            </w:r>
          </w:p>
        </w:tc>
        <w:tc>
          <w:tcPr>
            <w:tcW w:w="799" w:type="dxa"/>
            <w:tcBorders>
              <w:left w:val="single" w:sz="4" w:space="0" w:color="auto"/>
            </w:tcBorders>
          </w:tcPr>
          <w:p w:rsidR="00B8592C" w:rsidRPr="00B8592C" w:rsidRDefault="00B8592C" w:rsidP="00B8592C">
            <w:pPr>
              <w:jc w:val="both"/>
              <w:rPr>
                <w:rFonts w:ascii="Times New Roman" w:hAnsi="Times New Roman" w:cs="Times New Roman"/>
                <w:b/>
                <w:sz w:val="20"/>
                <w:szCs w:val="20"/>
              </w:rPr>
            </w:pPr>
            <w:r w:rsidRPr="00B8592C">
              <w:rPr>
                <w:rFonts w:ascii="Times New Roman" w:hAnsi="Times New Roman" w:cs="Times New Roman"/>
                <w:b/>
                <w:sz w:val="20"/>
                <w:szCs w:val="20"/>
              </w:rPr>
              <w:t>295628.72</w:t>
            </w:r>
          </w:p>
        </w:tc>
      </w:tr>
    </w:tbl>
    <w:p w:rsidR="00B8592C" w:rsidRPr="00B8592C" w:rsidRDefault="00B8592C" w:rsidP="00B8592C">
      <w:pPr>
        <w:tabs>
          <w:tab w:val="left" w:pos="2790"/>
        </w:tabs>
        <w:spacing w:after="0"/>
        <w:jc w:val="center"/>
        <w:rPr>
          <w:rFonts w:ascii="Times New Roman" w:hAnsi="Times New Roman" w:cs="Times New Roman"/>
          <w:b/>
          <w:sz w:val="20"/>
          <w:szCs w:val="24"/>
        </w:rPr>
      </w:pPr>
      <w:r w:rsidRPr="00B8592C">
        <w:rPr>
          <w:rFonts w:ascii="Times New Roman" w:hAnsi="Times New Roman" w:cs="Times New Roman"/>
          <w:b/>
          <w:sz w:val="20"/>
          <w:szCs w:val="24"/>
        </w:rPr>
        <w:t>Source: Bangladesh Bank Annual Report on Green Banking – 2012</w:t>
      </w:r>
    </w:p>
    <w:p w:rsidR="00B8592C" w:rsidRPr="00B8592C" w:rsidRDefault="00B8592C" w:rsidP="00B8592C">
      <w:pPr>
        <w:tabs>
          <w:tab w:val="left" w:pos="2790"/>
        </w:tabs>
        <w:spacing w:after="0"/>
        <w:jc w:val="center"/>
        <w:rPr>
          <w:rFonts w:ascii="Times New Roman" w:hAnsi="Times New Roman" w:cs="Times New Roman"/>
          <w:b/>
          <w:sz w:val="20"/>
          <w:szCs w:val="24"/>
        </w:rPr>
      </w:pPr>
    </w:p>
    <w:p w:rsidR="00B8592C" w:rsidRPr="00B8592C" w:rsidRDefault="00B8592C" w:rsidP="00B8592C">
      <w:pPr>
        <w:tabs>
          <w:tab w:val="left" w:pos="2790"/>
        </w:tabs>
        <w:spacing w:after="0"/>
        <w:jc w:val="center"/>
        <w:rPr>
          <w:rFonts w:ascii="Times New Roman" w:hAnsi="Times New Roman" w:cs="Times New Roman"/>
          <w:b/>
          <w:sz w:val="20"/>
          <w:szCs w:val="24"/>
        </w:rPr>
      </w:pPr>
    </w:p>
    <w:p w:rsidR="00B8592C" w:rsidRPr="00B8592C" w:rsidRDefault="00B8592C" w:rsidP="00B8592C">
      <w:pPr>
        <w:tabs>
          <w:tab w:val="left" w:pos="2790"/>
        </w:tabs>
        <w:spacing w:after="0"/>
        <w:jc w:val="center"/>
        <w:rPr>
          <w:rFonts w:ascii="Times New Roman" w:hAnsi="Times New Roman" w:cs="Times New Roman"/>
          <w:b/>
          <w:sz w:val="20"/>
          <w:szCs w:val="24"/>
        </w:rPr>
      </w:pPr>
    </w:p>
    <w:p w:rsidR="00B8592C" w:rsidRPr="00B8592C" w:rsidRDefault="00B8592C" w:rsidP="00B8592C">
      <w:pPr>
        <w:tabs>
          <w:tab w:val="left" w:pos="2790"/>
        </w:tabs>
        <w:spacing w:after="0"/>
        <w:jc w:val="center"/>
        <w:rPr>
          <w:rFonts w:ascii="Times New Roman" w:hAnsi="Times New Roman" w:cs="Times New Roman"/>
          <w:b/>
          <w:sz w:val="20"/>
          <w:szCs w:val="24"/>
        </w:rPr>
      </w:pPr>
      <w:r w:rsidRPr="00B8592C">
        <w:rPr>
          <w:rFonts w:ascii="Times New Roman" w:hAnsi="Times New Roman" w:cs="Times New Roman"/>
          <w:b/>
          <w:sz w:val="20"/>
          <w:szCs w:val="24"/>
        </w:rPr>
        <w:t>3.3 Graph:  Direct Green Finance</w:t>
      </w:r>
    </w:p>
    <w:p w:rsidR="00B8592C" w:rsidRPr="00B8592C" w:rsidRDefault="00B8592C" w:rsidP="00B8592C">
      <w:pPr>
        <w:spacing w:after="0"/>
        <w:jc w:val="center"/>
      </w:pPr>
      <w:r w:rsidRPr="00B8592C">
        <w:rPr>
          <w:noProof/>
        </w:rPr>
        <w:drawing>
          <wp:inline distT="0" distB="0" distL="0" distR="0" wp14:anchorId="3FAD40AE" wp14:editId="74972FE5">
            <wp:extent cx="5699273" cy="3063833"/>
            <wp:effectExtent l="57150" t="0" r="34777" b="41317"/>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8592C" w:rsidRPr="00B8592C" w:rsidRDefault="00B8592C" w:rsidP="00B8592C">
      <w:pPr>
        <w:tabs>
          <w:tab w:val="left" w:pos="2790"/>
        </w:tabs>
        <w:jc w:val="both"/>
        <w:rPr>
          <w:rFonts w:ascii="Times New Roman" w:hAnsi="Times New Roman" w:cs="Times New Roman"/>
          <w:b/>
          <w:sz w:val="20"/>
          <w:szCs w:val="24"/>
        </w:rPr>
      </w:pPr>
      <w:r w:rsidRPr="00B8592C">
        <w:rPr>
          <w:rFonts w:ascii="Times New Roman" w:hAnsi="Times New Roman" w:cs="Times New Roman"/>
          <w:b/>
          <w:sz w:val="20"/>
          <w:szCs w:val="24"/>
        </w:rPr>
        <w:t xml:space="preserve">Source: Bangladesh Bank Annual Report on Green Banking </w:t>
      </w:r>
    </w:p>
    <w:p w:rsidR="00B8592C" w:rsidRPr="00B8592C" w:rsidRDefault="00B8592C" w:rsidP="00B8592C">
      <w:pPr>
        <w:tabs>
          <w:tab w:val="left" w:pos="2790"/>
        </w:tabs>
        <w:jc w:val="both"/>
        <w:rPr>
          <w:rFonts w:ascii="Times New Roman" w:hAnsi="Times New Roman" w:cs="Times New Roman"/>
          <w:sz w:val="24"/>
          <w:szCs w:val="24"/>
        </w:rPr>
      </w:pPr>
      <w:r w:rsidRPr="00B8592C">
        <w:rPr>
          <w:rFonts w:ascii="Times New Roman" w:hAnsi="Times New Roman" w:cs="Times New Roman"/>
          <w:sz w:val="24"/>
          <w:szCs w:val="24"/>
        </w:rPr>
        <w:t xml:space="preserve">In direct green finance Private Commercial Banks (PCBs) have maximum contribution 47.6% in 2012, 89.5% in 2013, 53.2% in 2014 and 79.4% in 2015 whereas State Owned Commercial Banks (SCBs) have 29.6% in 2012, 7.2% in 2013, 7.6% in 2014 and 14.3% in 2015 and Specialized Development Banks (SDBs) have only 15.3%   in 2012, 0.89% in 2013, 0.55% in 2014 and 0.087% in 2015 respectively. </w:t>
      </w:r>
    </w:p>
    <w:p w:rsidR="00B8592C" w:rsidRPr="00B8592C" w:rsidRDefault="00B8592C" w:rsidP="00B8592C">
      <w:pPr>
        <w:tabs>
          <w:tab w:val="left" w:pos="2790"/>
        </w:tabs>
        <w:spacing w:after="0"/>
        <w:jc w:val="center"/>
        <w:rPr>
          <w:rFonts w:ascii="Times New Roman" w:hAnsi="Times New Roman" w:cs="Times New Roman"/>
          <w:b/>
          <w:sz w:val="20"/>
          <w:szCs w:val="24"/>
        </w:rPr>
      </w:pPr>
      <w:r w:rsidRPr="00B8592C">
        <w:rPr>
          <w:rFonts w:ascii="Times New Roman" w:hAnsi="Times New Roman" w:cs="Times New Roman"/>
          <w:b/>
          <w:sz w:val="20"/>
          <w:szCs w:val="24"/>
        </w:rPr>
        <w:t>3.3 Graph:  Indirect Green Finance</w:t>
      </w:r>
    </w:p>
    <w:p w:rsidR="00B8592C" w:rsidRPr="00B8592C" w:rsidRDefault="00B8592C" w:rsidP="00B8592C">
      <w:pPr>
        <w:spacing w:after="0"/>
        <w:jc w:val="center"/>
      </w:pPr>
      <w:r w:rsidRPr="00B8592C">
        <w:rPr>
          <w:noProof/>
        </w:rPr>
        <w:lastRenderedPageBreak/>
        <w:drawing>
          <wp:inline distT="0" distB="0" distL="0" distR="0" wp14:anchorId="7D6A248E" wp14:editId="6C096454">
            <wp:extent cx="5821136" cy="3111846"/>
            <wp:effectExtent l="57150" t="0" r="46264" b="31404"/>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8592C" w:rsidRPr="00B8592C" w:rsidRDefault="00B8592C" w:rsidP="00B8592C">
      <w:pPr>
        <w:tabs>
          <w:tab w:val="left" w:pos="2790"/>
        </w:tabs>
        <w:jc w:val="both"/>
        <w:rPr>
          <w:rFonts w:ascii="Times New Roman" w:hAnsi="Times New Roman" w:cs="Times New Roman"/>
          <w:b/>
          <w:sz w:val="20"/>
          <w:szCs w:val="24"/>
        </w:rPr>
      </w:pPr>
      <w:r w:rsidRPr="00B8592C">
        <w:rPr>
          <w:rFonts w:ascii="Times New Roman" w:hAnsi="Times New Roman" w:cs="Times New Roman"/>
          <w:b/>
          <w:sz w:val="20"/>
          <w:szCs w:val="24"/>
        </w:rPr>
        <w:t xml:space="preserve">Source: Bangladesh Bank Annual Report on Green Banking </w:t>
      </w:r>
    </w:p>
    <w:p w:rsidR="00B8592C" w:rsidRPr="00B8592C" w:rsidRDefault="00B8592C" w:rsidP="00B8592C">
      <w:pPr>
        <w:tabs>
          <w:tab w:val="left" w:pos="2790"/>
        </w:tabs>
        <w:jc w:val="both"/>
        <w:rPr>
          <w:rFonts w:ascii="Times New Roman" w:hAnsi="Times New Roman" w:cs="Times New Roman"/>
          <w:b/>
          <w:sz w:val="20"/>
          <w:szCs w:val="24"/>
        </w:rPr>
      </w:pPr>
      <w:r w:rsidRPr="00B8592C">
        <w:rPr>
          <w:rFonts w:ascii="Times New Roman" w:hAnsi="Times New Roman" w:cs="Times New Roman"/>
          <w:sz w:val="24"/>
          <w:szCs w:val="24"/>
        </w:rPr>
        <w:t xml:space="preserve">In indirect green finance Private Commercial Banks (PCBs) have also maximum contribution 66.8% in 2012, 74.2% in 2013, 79.3% in 2014 and 82.9% in 2015 whereas State Owned Commercial Banks (SCBs) have 1.15% in 2012, 0.35% in 2013, 0.74% in 2014 and 0.19% in 2015 and Specialized Development Banks (SDBs) have only 2.5%   in 2012, 0.98% in 2013, 0.24% in 2014 and 0% in 2015 respectively. </w:t>
      </w:r>
    </w:p>
    <w:p w:rsidR="00B8592C" w:rsidRPr="00B8592C" w:rsidRDefault="00B8592C" w:rsidP="00B8592C">
      <w:pPr>
        <w:tabs>
          <w:tab w:val="left" w:pos="2790"/>
        </w:tabs>
        <w:spacing w:after="0"/>
        <w:jc w:val="center"/>
        <w:rPr>
          <w:rFonts w:ascii="Times New Roman" w:hAnsi="Times New Roman" w:cs="Times New Roman"/>
          <w:b/>
          <w:sz w:val="24"/>
          <w:szCs w:val="24"/>
        </w:rPr>
      </w:pPr>
      <w:r w:rsidRPr="00B8592C">
        <w:rPr>
          <w:rFonts w:ascii="Times New Roman" w:hAnsi="Times New Roman" w:cs="Times New Roman"/>
          <w:b/>
          <w:sz w:val="20"/>
          <w:szCs w:val="24"/>
        </w:rPr>
        <w:t xml:space="preserve">3.3. Graph: </w:t>
      </w:r>
      <w:r w:rsidRPr="00B8592C">
        <w:rPr>
          <w:rFonts w:ascii="Times New Roman" w:hAnsi="Times New Roman" w:cs="Times New Roman"/>
          <w:b/>
          <w:bCs/>
          <w:sz w:val="20"/>
          <w:szCs w:val="24"/>
        </w:rPr>
        <w:t>Total Direct and Indirect Green Finance</w:t>
      </w:r>
    </w:p>
    <w:p w:rsidR="00B8592C" w:rsidRPr="00B8592C" w:rsidRDefault="00B8592C" w:rsidP="00B8592C">
      <w:pPr>
        <w:spacing w:after="0"/>
        <w:jc w:val="center"/>
        <w:rPr>
          <w:rFonts w:ascii="Times New Roman" w:hAnsi="Times New Roman" w:cs="Times New Roman"/>
          <w:sz w:val="24"/>
          <w:szCs w:val="24"/>
        </w:rPr>
      </w:pPr>
      <w:r w:rsidRPr="00B8592C">
        <w:rPr>
          <w:noProof/>
        </w:rPr>
        <w:drawing>
          <wp:inline distT="0" distB="0" distL="0" distR="0" wp14:anchorId="363139EB" wp14:editId="1987CADC">
            <wp:extent cx="5822917" cy="2766950"/>
            <wp:effectExtent l="57150" t="0" r="44483" b="3340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8592C" w:rsidRPr="00B8592C" w:rsidRDefault="00B8592C" w:rsidP="00B8592C">
      <w:pPr>
        <w:tabs>
          <w:tab w:val="left" w:pos="2790"/>
        </w:tabs>
        <w:spacing w:after="0"/>
        <w:jc w:val="both"/>
        <w:rPr>
          <w:rFonts w:ascii="Times New Roman" w:hAnsi="Times New Roman" w:cs="Times New Roman"/>
          <w:b/>
          <w:sz w:val="20"/>
          <w:szCs w:val="24"/>
        </w:rPr>
      </w:pPr>
      <w:r w:rsidRPr="00B8592C">
        <w:rPr>
          <w:rFonts w:ascii="Times New Roman" w:hAnsi="Times New Roman" w:cs="Times New Roman"/>
          <w:b/>
          <w:sz w:val="20"/>
          <w:szCs w:val="24"/>
        </w:rPr>
        <w:t xml:space="preserve">Source: Bangladesh Bank Annual Report on Green Banking </w:t>
      </w:r>
    </w:p>
    <w:p w:rsidR="00B8592C" w:rsidRPr="00B8592C" w:rsidRDefault="00B8592C" w:rsidP="00B8592C">
      <w:pPr>
        <w:tabs>
          <w:tab w:val="left" w:pos="2790"/>
        </w:tabs>
        <w:jc w:val="both"/>
        <w:rPr>
          <w:rFonts w:ascii="Times New Roman" w:hAnsi="Times New Roman" w:cs="Times New Roman"/>
          <w:sz w:val="24"/>
          <w:szCs w:val="24"/>
        </w:rPr>
      </w:pPr>
      <w:r w:rsidRPr="00B8592C">
        <w:rPr>
          <w:rFonts w:ascii="Times New Roman" w:hAnsi="Times New Roman" w:cs="Times New Roman"/>
          <w:sz w:val="24"/>
          <w:szCs w:val="24"/>
        </w:rPr>
        <w:t xml:space="preserve">In total direct and indirect green finance Private Commercial Banks (PCBs) have also maximum contribution 66% in 2012, 75.5% in 2013, 77.3% in 2014 and 82.7% in 2015 whereas State Owned Commercial Banks (SCBs) have 2 % in 2012, 0.93% in 2013, 1.26% in 2014 and 0.93% in 2015 and Specialized Development Banks (SDBs) have only 3%   in 2012, 0.97% in 2013, 0.26% in 2014 and 0.0046% in 2015 respectively. </w:t>
      </w:r>
    </w:p>
    <w:p w:rsidR="00B8592C" w:rsidRPr="00B8592C" w:rsidRDefault="00B8592C" w:rsidP="00B8592C">
      <w:pPr>
        <w:tabs>
          <w:tab w:val="left" w:pos="2790"/>
        </w:tabs>
        <w:jc w:val="both"/>
        <w:rPr>
          <w:rFonts w:ascii="Times New Roman" w:hAnsi="Times New Roman" w:cs="Times New Roman"/>
          <w:sz w:val="24"/>
          <w:szCs w:val="24"/>
        </w:rPr>
      </w:pPr>
      <w:r w:rsidRPr="00B8592C">
        <w:rPr>
          <w:rFonts w:ascii="Times New Roman" w:hAnsi="Times New Roman" w:cs="Vrinda"/>
          <w:b/>
          <w:sz w:val="28"/>
          <w:szCs w:val="24"/>
          <w:lang w:bidi="bn-BD"/>
        </w:rPr>
        <w:lastRenderedPageBreak/>
        <w:t xml:space="preserve">3.4. </w:t>
      </w:r>
      <w:r w:rsidRPr="00B8592C">
        <w:rPr>
          <w:rFonts w:ascii="Times New Roman" w:hAnsi="Times New Roman" w:cs="Times New Roman"/>
          <w:b/>
          <w:sz w:val="28"/>
          <w:szCs w:val="24"/>
        </w:rPr>
        <w:t>Green Finance Projects:</w:t>
      </w:r>
    </w:p>
    <w:p w:rsidR="00B8592C" w:rsidRPr="00B8592C" w:rsidRDefault="00B8592C" w:rsidP="00B8592C">
      <w:pPr>
        <w:jc w:val="both"/>
        <w:rPr>
          <w:rFonts w:ascii="Times New Roman" w:hAnsi="Times New Roman" w:cs="Times New Roman"/>
          <w:b/>
          <w:sz w:val="28"/>
          <w:szCs w:val="24"/>
        </w:rPr>
      </w:pPr>
      <w:r w:rsidRPr="00B8592C">
        <w:rPr>
          <w:rFonts w:ascii="Times New Roman" w:hAnsi="Times New Roman" w:cs="Times New Roman"/>
          <w:sz w:val="24"/>
          <w:szCs w:val="24"/>
        </w:rPr>
        <w:t xml:space="preserve">Banks have disbursed in different green products or events such that: Effluent Treatment Plant (ETP), Projects having ETP, Bio–gas plant, solar or renewable energy plant, Bio-fertilizer plant, HHK and etc.  In 2012 Banks have disbursed in total green finance taka 270921.24 </w:t>
      </w:r>
      <w:proofErr w:type="gramStart"/>
      <w:r w:rsidRPr="00B8592C">
        <w:rPr>
          <w:rFonts w:ascii="Times New Roman" w:hAnsi="Times New Roman" w:cs="Times New Roman"/>
          <w:sz w:val="24"/>
          <w:szCs w:val="24"/>
        </w:rPr>
        <w:t>million,</w:t>
      </w:r>
      <w:proofErr w:type="gramEnd"/>
      <w:r w:rsidRPr="00B8592C">
        <w:rPr>
          <w:rFonts w:ascii="Times New Roman" w:hAnsi="Times New Roman" w:cs="Times New Roman"/>
          <w:sz w:val="24"/>
          <w:szCs w:val="24"/>
        </w:rPr>
        <w:t xml:space="preserve"> in 2013 Banks have disbursed in total green finance taka 348125.6 million and in 2014Banks have disbursed in total green finance taka 190263.03 million.</w:t>
      </w:r>
    </w:p>
    <w:p w:rsidR="00B8592C" w:rsidRPr="00B8592C" w:rsidRDefault="00B8592C" w:rsidP="00B8592C">
      <w:pPr>
        <w:spacing w:after="0"/>
        <w:jc w:val="both"/>
        <w:rPr>
          <w:rFonts w:ascii="Times New Roman" w:hAnsi="Times New Roman" w:cs="Times New Roman"/>
          <w:b/>
          <w:sz w:val="28"/>
          <w:szCs w:val="24"/>
        </w:rPr>
      </w:pPr>
      <w:r w:rsidRPr="00B8592C">
        <w:rPr>
          <w:rFonts w:ascii="Times New Roman" w:hAnsi="Times New Roman" w:cs="Times New Roman"/>
          <w:b/>
          <w:sz w:val="24"/>
          <w:szCs w:val="24"/>
        </w:rPr>
        <w:t xml:space="preserve">3.4. </w:t>
      </w:r>
      <w:r w:rsidRPr="00B8592C">
        <w:rPr>
          <w:rFonts w:ascii="Times New Roman" w:hAnsi="Times New Roman" w:cs="Times New Roman"/>
          <w:b/>
          <w:sz w:val="20"/>
          <w:szCs w:val="24"/>
        </w:rPr>
        <w:t>Table: Investment in Green Finance Projects/ Events</w:t>
      </w:r>
    </w:p>
    <w:tbl>
      <w:tblPr>
        <w:tblStyle w:val="MediumGrid3-Accent12"/>
        <w:tblW w:w="0" w:type="auto"/>
        <w:tblLook w:val="04A0" w:firstRow="1" w:lastRow="0" w:firstColumn="1" w:lastColumn="0" w:noHBand="0" w:noVBand="1"/>
      </w:tblPr>
      <w:tblGrid>
        <w:gridCol w:w="4398"/>
        <w:gridCol w:w="1350"/>
        <w:gridCol w:w="1350"/>
        <w:gridCol w:w="1795"/>
      </w:tblGrid>
      <w:tr w:rsidR="00B8592C" w:rsidRPr="00B8592C" w:rsidTr="00B85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Green projects/ Events</w:t>
            </w:r>
          </w:p>
        </w:tc>
        <w:tc>
          <w:tcPr>
            <w:tcW w:w="135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2012</w:t>
            </w:r>
          </w:p>
        </w:tc>
        <w:tc>
          <w:tcPr>
            <w:tcW w:w="135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2013</w:t>
            </w:r>
          </w:p>
        </w:tc>
        <w:tc>
          <w:tcPr>
            <w:tcW w:w="1795"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2014</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ETP</w:t>
            </w:r>
          </w:p>
        </w:tc>
        <w:tc>
          <w:tcPr>
            <w:tcW w:w="13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1356.52</w:t>
            </w:r>
          </w:p>
        </w:tc>
        <w:tc>
          <w:tcPr>
            <w:tcW w:w="13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3663.18</w:t>
            </w:r>
          </w:p>
        </w:tc>
        <w:tc>
          <w:tcPr>
            <w:tcW w:w="179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1403.3</w:t>
            </w:r>
          </w:p>
        </w:tc>
      </w:tr>
      <w:tr w:rsidR="00B8592C" w:rsidRPr="00B8592C" w:rsidTr="00B8592C">
        <w:tc>
          <w:tcPr>
            <w:cnfStyle w:val="001000000000" w:firstRow="0" w:lastRow="0" w:firstColumn="1" w:lastColumn="0" w:oddVBand="0" w:evenVBand="0" w:oddHBand="0" w:evenHBand="0" w:firstRowFirstColumn="0" w:firstRowLastColumn="0" w:lastRowFirstColumn="0" w:lastRowLastColumn="0"/>
            <w:tcW w:w="4398"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Projects having ETP</w:t>
            </w:r>
          </w:p>
        </w:tc>
        <w:tc>
          <w:tcPr>
            <w:tcW w:w="135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259100.05</w:t>
            </w:r>
          </w:p>
        </w:tc>
        <w:tc>
          <w:tcPr>
            <w:tcW w:w="135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318442.86</w:t>
            </w:r>
          </w:p>
        </w:tc>
        <w:tc>
          <w:tcPr>
            <w:tcW w:w="1795"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175140.34</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Bio- gas plant</w:t>
            </w:r>
          </w:p>
        </w:tc>
        <w:tc>
          <w:tcPr>
            <w:tcW w:w="13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899.87</w:t>
            </w:r>
          </w:p>
        </w:tc>
        <w:tc>
          <w:tcPr>
            <w:tcW w:w="13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480.73</w:t>
            </w:r>
          </w:p>
        </w:tc>
        <w:tc>
          <w:tcPr>
            <w:tcW w:w="179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127.95</w:t>
            </w:r>
          </w:p>
        </w:tc>
      </w:tr>
      <w:tr w:rsidR="00B8592C" w:rsidRPr="00B8592C" w:rsidTr="00B8592C">
        <w:tc>
          <w:tcPr>
            <w:cnfStyle w:val="001000000000" w:firstRow="0" w:lastRow="0" w:firstColumn="1" w:lastColumn="0" w:oddVBand="0" w:evenVBand="0" w:oddHBand="0" w:evenHBand="0" w:firstRowFirstColumn="0" w:firstRowLastColumn="0" w:lastRowFirstColumn="0" w:lastRowLastColumn="0"/>
            <w:tcW w:w="4398"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Solar/ Renewable Energy Plant</w:t>
            </w:r>
          </w:p>
        </w:tc>
        <w:tc>
          <w:tcPr>
            <w:tcW w:w="135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3638.37</w:t>
            </w:r>
          </w:p>
        </w:tc>
        <w:tc>
          <w:tcPr>
            <w:tcW w:w="135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2002.59</w:t>
            </w:r>
          </w:p>
        </w:tc>
        <w:tc>
          <w:tcPr>
            <w:tcW w:w="1795"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1614.62</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Bio-fertilizer plant</w:t>
            </w:r>
          </w:p>
        </w:tc>
        <w:tc>
          <w:tcPr>
            <w:tcW w:w="13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0.40</w:t>
            </w:r>
          </w:p>
        </w:tc>
        <w:tc>
          <w:tcPr>
            <w:tcW w:w="13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1.7</w:t>
            </w:r>
          </w:p>
        </w:tc>
        <w:tc>
          <w:tcPr>
            <w:tcW w:w="179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13.38</w:t>
            </w:r>
          </w:p>
        </w:tc>
      </w:tr>
      <w:tr w:rsidR="00B8592C" w:rsidRPr="00B8592C" w:rsidTr="00B8592C">
        <w:tc>
          <w:tcPr>
            <w:cnfStyle w:val="001000000000" w:firstRow="0" w:lastRow="0" w:firstColumn="1" w:lastColumn="0" w:oddVBand="0" w:evenVBand="0" w:oddHBand="0" w:evenHBand="0" w:firstRowFirstColumn="0" w:firstRowLastColumn="0" w:lastRowFirstColumn="0" w:lastRowLastColumn="0"/>
            <w:tcW w:w="4398"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HHK</w:t>
            </w:r>
          </w:p>
        </w:tc>
        <w:tc>
          <w:tcPr>
            <w:tcW w:w="135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1830.33</w:t>
            </w:r>
          </w:p>
        </w:tc>
        <w:tc>
          <w:tcPr>
            <w:tcW w:w="135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2890.69</w:t>
            </w:r>
          </w:p>
        </w:tc>
        <w:tc>
          <w:tcPr>
            <w:tcW w:w="1795"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3141.89</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Others</w:t>
            </w:r>
          </w:p>
        </w:tc>
        <w:tc>
          <w:tcPr>
            <w:tcW w:w="13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4061.76</w:t>
            </w:r>
          </w:p>
        </w:tc>
        <w:tc>
          <w:tcPr>
            <w:tcW w:w="13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20565.23</w:t>
            </w:r>
          </w:p>
        </w:tc>
        <w:tc>
          <w:tcPr>
            <w:tcW w:w="179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1828.48</w:t>
            </w:r>
          </w:p>
        </w:tc>
      </w:tr>
      <w:tr w:rsidR="00B8592C" w:rsidRPr="00B8592C" w:rsidTr="00B8592C">
        <w:tc>
          <w:tcPr>
            <w:cnfStyle w:val="001000000000" w:firstRow="0" w:lastRow="0" w:firstColumn="1" w:lastColumn="0" w:oddVBand="0" w:evenVBand="0" w:oddHBand="0" w:evenHBand="0" w:firstRowFirstColumn="0" w:firstRowLastColumn="0" w:lastRowFirstColumn="0" w:lastRowLastColumn="0"/>
            <w:tcW w:w="4398"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Reduced Rate of Interest</w:t>
            </w:r>
          </w:p>
        </w:tc>
        <w:tc>
          <w:tcPr>
            <w:tcW w:w="135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34.26</w:t>
            </w:r>
          </w:p>
        </w:tc>
        <w:tc>
          <w:tcPr>
            <w:tcW w:w="1350"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78.62</w:t>
            </w:r>
          </w:p>
        </w:tc>
        <w:tc>
          <w:tcPr>
            <w:tcW w:w="1795" w:type="dxa"/>
          </w:tcPr>
          <w:p w:rsidR="00B8592C" w:rsidRPr="00B8592C" w:rsidRDefault="00B8592C" w:rsidP="00B859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6993.07</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Total</w:t>
            </w:r>
          </w:p>
        </w:tc>
        <w:tc>
          <w:tcPr>
            <w:tcW w:w="13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8592C">
              <w:rPr>
                <w:rFonts w:ascii="Times New Roman" w:hAnsi="Times New Roman" w:cs="Times New Roman"/>
                <w:b/>
                <w:sz w:val="24"/>
                <w:szCs w:val="24"/>
              </w:rPr>
              <w:t>270921.24</w:t>
            </w:r>
          </w:p>
        </w:tc>
        <w:tc>
          <w:tcPr>
            <w:tcW w:w="13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8592C">
              <w:rPr>
                <w:rFonts w:ascii="Times New Roman" w:hAnsi="Times New Roman" w:cs="Times New Roman"/>
                <w:b/>
                <w:sz w:val="24"/>
                <w:szCs w:val="24"/>
              </w:rPr>
              <w:t>348125.6</w:t>
            </w:r>
          </w:p>
        </w:tc>
        <w:tc>
          <w:tcPr>
            <w:tcW w:w="179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8592C">
              <w:rPr>
                <w:rFonts w:ascii="Times New Roman" w:hAnsi="Times New Roman" w:cs="Times New Roman"/>
                <w:b/>
                <w:sz w:val="24"/>
                <w:szCs w:val="24"/>
              </w:rPr>
              <w:t>190263.03</w:t>
            </w:r>
          </w:p>
        </w:tc>
      </w:tr>
    </w:tbl>
    <w:p w:rsidR="00B8592C" w:rsidRPr="00B8592C" w:rsidRDefault="00B8592C" w:rsidP="00B8592C">
      <w:pPr>
        <w:jc w:val="both"/>
        <w:rPr>
          <w:rFonts w:ascii="Times New Roman" w:hAnsi="Times New Roman" w:cs="Times New Roman"/>
          <w:b/>
          <w:sz w:val="20"/>
          <w:szCs w:val="24"/>
        </w:rPr>
      </w:pPr>
      <w:r w:rsidRPr="00B8592C">
        <w:rPr>
          <w:rFonts w:ascii="Times New Roman" w:hAnsi="Times New Roman" w:cs="Times New Roman"/>
          <w:b/>
          <w:sz w:val="20"/>
          <w:szCs w:val="24"/>
        </w:rPr>
        <w:t xml:space="preserve">Source: Bangladesh Bank Annual Report on Green Banking      </w:t>
      </w:r>
    </w:p>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b/>
          <w:sz w:val="24"/>
          <w:szCs w:val="24"/>
        </w:rPr>
        <w:t>Here,</w:t>
      </w:r>
      <w:r w:rsidRPr="00B8592C">
        <w:rPr>
          <w:rFonts w:ascii="Times New Roman" w:hAnsi="Times New Roman" w:cs="Times New Roman"/>
          <w:sz w:val="24"/>
          <w:szCs w:val="24"/>
        </w:rPr>
        <w:t xml:space="preserve"> is the graphical presentation of total green projects or events. </w:t>
      </w:r>
    </w:p>
    <w:p w:rsidR="00B8592C" w:rsidRPr="00B8592C" w:rsidRDefault="00B8592C" w:rsidP="00B8592C">
      <w:pPr>
        <w:spacing w:after="0"/>
        <w:jc w:val="center"/>
        <w:rPr>
          <w:rFonts w:ascii="Times New Roman" w:hAnsi="Times New Roman" w:cs="Times New Roman"/>
          <w:b/>
          <w:sz w:val="20"/>
          <w:szCs w:val="24"/>
        </w:rPr>
      </w:pPr>
      <w:r w:rsidRPr="00B8592C">
        <w:rPr>
          <w:rFonts w:ascii="Times New Roman" w:hAnsi="Times New Roman" w:cs="Times New Roman"/>
          <w:b/>
          <w:sz w:val="20"/>
          <w:szCs w:val="24"/>
        </w:rPr>
        <w:t>3.4. Graph: Total Green Projects/ Events</w:t>
      </w:r>
    </w:p>
    <w:p w:rsidR="00B8592C" w:rsidRPr="00B8592C" w:rsidRDefault="00B8592C" w:rsidP="00B8592C">
      <w:pPr>
        <w:spacing w:after="0"/>
        <w:jc w:val="center"/>
        <w:rPr>
          <w:rFonts w:ascii="Times New Roman" w:hAnsi="Times New Roman" w:cs="Times New Roman"/>
          <w:b/>
          <w:sz w:val="20"/>
          <w:szCs w:val="24"/>
        </w:rPr>
      </w:pPr>
      <w:r w:rsidRPr="00B8592C">
        <w:rPr>
          <w:rFonts w:ascii="Times New Roman" w:hAnsi="Times New Roman" w:cs="Times New Roman"/>
          <w:b/>
          <w:noProof/>
          <w:sz w:val="20"/>
          <w:szCs w:val="24"/>
        </w:rPr>
        <w:drawing>
          <wp:inline distT="0" distB="0" distL="0" distR="0" wp14:anchorId="73465490" wp14:editId="6C271CB5">
            <wp:extent cx="5975515" cy="3148297"/>
            <wp:effectExtent l="57150" t="0" r="44285" b="33053"/>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8592C" w:rsidRPr="00B8592C" w:rsidRDefault="00B8592C" w:rsidP="00B8592C">
      <w:pPr>
        <w:jc w:val="both"/>
        <w:rPr>
          <w:rFonts w:ascii="Times New Roman" w:hAnsi="Times New Roman" w:cs="Times New Roman"/>
          <w:b/>
          <w:sz w:val="20"/>
          <w:szCs w:val="24"/>
        </w:rPr>
      </w:pPr>
      <w:r w:rsidRPr="00B8592C">
        <w:rPr>
          <w:rFonts w:ascii="Times New Roman" w:hAnsi="Times New Roman" w:cs="Times New Roman"/>
          <w:b/>
          <w:sz w:val="20"/>
          <w:szCs w:val="24"/>
        </w:rPr>
        <w:t xml:space="preserve">Source: Bangladesh Bank Annual Report on Green Banking    </w:t>
      </w:r>
    </w:p>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In 2012, 2013 and 2014 banks have disbursed large amount in projects having ETP.</w:t>
      </w:r>
    </w:p>
    <w:p w:rsidR="00B8592C" w:rsidRPr="00B8592C" w:rsidRDefault="00B8592C" w:rsidP="00B8592C">
      <w:pPr>
        <w:widowControl w:val="0"/>
        <w:autoSpaceDE w:val="0"/>
        <w:autoSpaceDN w:val="0"/>
        <w:adjustRightInd w:val="0"/>
        <w:spacing w:after="0" w:line="306" w:lineRule="exact"/>
        <w:jc w:val="both"/>
        <w:rPr>
          <w:rFonts w:ascii="Times New Roman" w:hAnsi="Times New Roman" w:cs="Times New Roman"/>
          <w:b/>
          <w:sz w:val="28"/>
          <w:szCs w:val="24"/>
        </w:rPr>
      </w:pPr>
    </w:p>
    <w:p w:rsidR="00B8592C" w:rsidRPr="00B8592C" w:rsidRDefault="00B8592C" w:rsidP="00B8592C">
      <w:pPr>
        <w:widowControl w:val="0"/>
        <w:autoSpaceDE w:val="0"/>
        <w:autoSpaceDN w:val="0"/>
        <w:adjustRightInd w:val="0"/>
        <w:spacing w:after="0" w:line="360" w:lineRule="auto"/>
        <w:jc w:val="both"/>
        <w:rPr>
          <w:rFonts w:ascii="Times New Roman" w:hAnsi="Times New Roman" w:cs="Times New Roman"/>
          <w:b/>
          <w:sz w:val="28"/>
          <w:szCs w:val="24"/>
        </w:rPr>
      </w:pPr>
      <w:r w:rsidRPr="00B8592C">
        <w:rPr>
          <w:rFonts w:ascii="Times New Roman" w:hAnsi="Times New Roman" w:cs="Times New Roman"/>
          <w:b/>
          <w:sz w:val="28"/>
          <w:szCs w:val="24"/>
        </w:rPr>
        <w:t>3.5. Environment Risk:</w:t>
      </w:r>
    </w:p>
    <w:p w:rsidR="00B8592C" w:rsidRPr="00B8592C" w:rsidRDefault="00B8592C" w:rsidP="00B8592C">
      <w:pPr>
        <w:widowControl w:val="0"/>
        <w:autoSpaceDE w:val="0"/>
        <w:autoSpaceDN w:val="0"/>
        <w:adjustRightInd w:val="0"/>
        <w:spacing w:after="0" w:line="360" w:lineRule="auto"/>
        <w:jc w:val="both"/>
        <w:rPr>
          <w:rFonts w:ascii="Times New Roman" w:hAnsi="Times New Roman" w:cs="Times New Roman"/>
          <w:b/>
          <w:sz w:val="28"/>
          <w:szCs w:val="24"/>
        </w:rPr>
      </w:pPr>
      <w:r w:rsidRPr="00B8592C">
        <w:rPr>
          <w:rFonts w:ascii="Times New Roman" w:hAnsi="Times New Roman" w:cs="Times New Roman"/>
          <w:color w:val="000000"/>
          <w:sz w:val="24"/>
          <w:szCs w:val="24"/>
        </w:rPr>
        <w:lastRenderedPageBreak/>
        <w:t xml:space="preserve">Environmental risk is not a part of credit risk; rather it is a facilitating element of credit risk when it is linked with the credit risk due to environmental condition/climate change. Incorporation of environmental risk is required to be incorporated in the Core Risk Management (CRM) that mandates considering </w:t>
      </w:r>
      <w:proofErr w:type="spellStart"/>
      <w:r w:rsidRPr="00B8592C">
        <w:rPr>
          <w:rFonts w:ascii="Times New Roman" w:hAnsi="Times New Roman" w:cs="Times New Roman"/>
          <w:color w:val="000000"/>
          <w:sz w:val="24"/>
          <w:szCs w:val="24"/>
        </w:rPr>
        <w:t>EnvRR</w:t>
      </w:r>
      <w:proofErr w:type="spellEnd"/>
      <w:r w:rsidRPr="00B8592C">
        <w:rPr>
          <w:rFonts w:ascii="Times New Roman" w:hAnsi="Times New Roman" w:cs="Times New Roman"/>
          <w:color w:val="000000"/>
          <w:sz w:val="24"/>
          <w:szCs w:val="24"/>
        </w:rPr>
        <w:t xml:space="preserve"> in the overall credit risk methodology. Incorporation of environmental risk in CRM is also important for computation of adequate capital under Risk Based Capital Adequacy (RBCA) and the CAMELS rating under off-site supervision as well.  Banks are now assessing </w:t>
      </w:r>
      <w:proofErr w:type="spellStart"/>
      <w:r w:rsidRPr="00B8592C">
        <w:rPr>
          <w:rFonts w:ascii="Times New Roman" w:hAnsi="Times New Roman" w:cs="Times New Roman"/>
          <w:color w:val="000000"/>
          <w:sz w:val="24"/>
          <w:szCs w:val="24"/>
        </w:rPr>
        <w:t>EnvRR</w:t>
      </w:r>
      <w:proofErr w:type="spellEnd"/>
      <w:r w:rsidRPr="00B8592C">
        <w:rPr>
          <w:rFonts w:ascii="Times New Roman" w:hAnsi="Times New Roman" w:cs="Times New Roman"/>
          <w:color w:val="000000"/>
          <w:sz w:val="24"/>
          <w:szCs w:val="24"/>
        </w:rPr>
        <w:t xml:space="preserve"> following the Environmental Due Diligence (EDD) Checklist of Environmental Risk Management (ERM) guideline.</w:t>
      </w:r>
    </w:p>
    <w:p w:rsidR="00B8592C" w:rsidRPr="00B8592C" w:rsidRDefault="00B8592C" w:rsidP="00B8592C">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B8592C" w:rsidRPr="00B8592C" w:rsidRDefault="00B8592C" w:rsidP="00B8592C">
      <w:pPr>
        <w:spacing w:after="0" w:line="360" w:lineRule="auto"/>
        <w:jc w:val="both"/>
        <w:rPr>
          <w:rFonts w:ascii="Times New Roman" w:hAnsi="Times New Roman" w:cs="Times New Roman"/>
          <w:b/>
          <w:sz w:val="28"/>
          <w:szCs w:val="24"/>
        </w:rPr>
      </w:pPr>
    </w:p>
    <w:p w:rsidR="00B8592C" w:rsidRPr="00B8592C" w:rsidRDefault="00B8592C" w:rsidP="00B8592C">
      <w:pPr>
        <w:spacing w:after="0" w:line="360" w:lineRule="auto"/>
        <w:jc w:val="both"/>
        <w:rPr>
          <w:rFonts w:ascii="Times New Roman" w:hAnsi="Times New Roman" w:cs="Times New Roman"/>
          <w:b/>
          <w:sz w:val="28"/>
          <w:szCs w:val="24"/>
        </w:rPr>
      </w:pPr>
    </w:p>
    <w:p w:rsidR="00B8592C" w:rsidRPr="00B8592C" w:rsidRDefault="00B8592C" w:rsidP="00B8592C">
      <w:pPr>
        <w:spacing w:after="0" w:line="360" w:lineRule="auto"/>
        <w:jc w:val="both"/>
        <w:rPr>
          <w:rFonts w:ascii="Times New Roman" w:hAnsi="Times New Roman" w:cs="Times New Roman"/>
          <w:b/>
          <w:sz w:val="28"/>
          <w:szCs w:val="24"/>
        </w:rPr>
      </w:pPr>
    </w:p>
    <w:p w:rsidR="00B8592C" w:rsidRPr="00B8592C" w:rsidRDefault="00B8592C" w:rsidP="00B8592C">
      <w:pPr>
        <w:spacing w:after="0" w:line="360" w:lineRule="auto"/>
        <w:jc w:val="both"/>
        <w:rPr>
          <w:rFonts w:ascii="Times New Roman" w:hAnsi="Times New Roman" w:cs="Times New Roman"/>
          <w:b/>
          <w:sz w:val="28"/>
          <w:szCs w:val="24"/>
        </w:rPr>
      </w:pPr>
    </w:p>
    <w:p w:rsidR="00B8592C" w:rsidRPr="00B8592C" w:rsidRDefault="00B8592C" w:rsidP="00B8592C">
      <w:pPr>
        <w:spacing w:after="0" w:line="360" w:lineRule="auto"/>
        <w:jc w:val="both"/>
        <w:rPr>
          <w:rFonts w:ascii="Times New Roman" w:hAnsi="Times New Roman" w:cs="Times New Roman"/>
          <w:b/>
          <w:sz w:val="28"/>
          <w:szCs w:val="24"/>
        </w:rPr>
      </w:pPr>
      <w:r w:rsidRPr="00B8592C">
        <w:rPr>
          <w:rFonts w:ascii="Times New Roman" w:hAnsi="Times New Roman" w:cs="Times New Roman"/>
          <w:b/>
          <w:sz w:val="28"/>
          <w:szCs w:val="24"/>
        </w:rPr>
        <w:t>3.5.1. Environment Risk Rating in 2012:</w:t>
      </w:r>
    </w:p>
    <w:p w:rsidR="00B8592C" w:rsidRPr="00B8592C" w:rsidRDefault="00B8592C" w:rsidP="00B8592C">
      <w:pPr>
        <w:spacing w:after="0" w:line="360" w:lineRule="auto"/>
        <w:jc w:val="both"/>
        <w:rPr>
          <w:rFonts w:ascii="Times New Roman" w:hAnsi="Times New Roman" w:cs="Times New Roman"/>
          <w:sz w:val="24"/>
          <w:szCs w:val="24"/>
        </w:rPr>
      </w:pPr>
      <w:r w:rsidRPr="00B8592C">
        <w:rPr>
          <w:rFonts w:ascii="Times New Roman" w:hAnsi="Times New Roman" w:cs="Times New Roman"/>
          <w:sz w:val="24"/>
          <w:szCs w:val="24"/>
        </w:rPr>
        <w:t>Banks have started environmental risk rating since July 2011. Banks have done environment risk rating in 4394 and 12088 projects in 2011 and 2012. The numbers of projects rating in 2012 have increased more than three times higher than the previous year. Similarly 4315 and 11165 projects have been financed after rating in 2011 and 2012 respectively.</w:t>
      </w:r>
    </w:p>
    <w:p w:rsidR="00B8592C" w:rsidRPr="00B8592C" w:rsidRDefault="00B8592C" w:rsidP="00B8592C">
      <w:pPr>
        <w:spacing w:after="0"/>
        <w:jc w:val="center"/>
        <w:rPr>
          <w:rFonts w:ascii="Times New Roman" w:hAnsi="Times New Roman" w:cs="Times New Roman"/>
          <w:b/>
          <w:sz w:val="20"/>
          <w:szCs w:val="24"/>
        </w:rPr>
      </w:pPr>
    </w:p>
    <w:p w:rsidR="00B8592C" w:rsidRPr="00B8592C" w:rsidRDefault="00B8592C" w:rsidP="00B8592C">
      <w:pPr>
        <w:spacing w:after="0"/>
        <w:jc w:val="center"/>
        <w:rPr>
          <w:rFonts w:ascii="Times New Roman" w:hAnsi="Times New Roman" w:cs="Times New Roman"/>
          <w:b/>
          <w:sz w:val="20"/>
          <w:szCs w:val="24"/>
        </w:rPr>
      </w:pPr>
      <w:r w:rsidRPr="00B8592C">
        <w:rPr>
          <w:rFonts w:ascii="Times New Roman" w:hAnsi="Times New Roman" w:cs="Times New Roman"/>
          <w:b/>
          <w:sz w:val="20"/>
          <w:szCs w:val="24"/>
        </w:rPr>
        <w:t>3.5.1. Table: Environment Risk Rating - 2012</w:t>
      </w:r>
    </w:p>
    <w:tbl>
      <w:tblPr>
        <w:tblStyle w:val="LightGrid-Accent5"/>
        <w:tblW w:w="0" w:type="auto"/>
        <w:tblInd w:w="198" w:type="dxa"/>
        <w:tblLook w:val="04A0" w:firstRow="1" w:lastRow="0" w:firstColumn="1" w:lastColumn="0" w:noHBand="0" w:noVBand="1"/>
      </w:tblPr>
      <w:tblGrid>
        <w:gridCol w:w="4410"/>
        <w:gridCol w:w="2250"/>
        <w:gridCol w:w="2070"/>
      </w:tblGrid>
      <w:tr w:rsidR="00B8592C" w:rsidRPr="00B8592C" w:rsidTr="00B85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Year</w:t>
            </w:r>
          </w:p>
          <w:p w:rsidR="00B8592C" w:rsidRPr="00B8592C" w:rsidRDefault="00B8592C" w:rsidP="00B8592C">
            <w:pPr>
              <w:jc w:val="center"/>
              <w:rPr>
                <w:rFonts w:ascii="Times New Roman" w:hAnsi="Times New Roman" w:cs="Times New Roman"/>
                <w:sz w:val="24"/>
                <w:szCs w:val="24"/>
              </w:rPr>
            </w:pPr>
          </w:p>
        </w:tc>
        <w:tc>
          <w:tcPr>
            <w:tcW w:w="225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2011</w:t>
            </w:r>
          </w:p>
        </w:tc>
        <w:tc>
          <w:tcPr>
            <w:tcW w:w="207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2012</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Numbers of projects rated</w:t>
            </w:r>
          </w:p>
          <w:p w:rsidR="00B8592C" w:rsidRPr="00B8592C" w:rsidRDefault="00B8592C" w:rsidP="00B8592C">
            <w:pPr>
              <w:jc w:val="both"/>
              <w:rPr>
                <w:rFonts w:ascii="Times New Roman" w:hAnsi="Times New Roman" w:cs="Times New Roman"/>
                <w:sz w:val="24"/>
                <w:szCs w:val="24"/>
              </w:rPr>
            </w:pPr>
          </w:p>
        </w:tc>
        <w:tc>
          <w:tcPr>
            <w:tcW w:w="22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4394</w:t>
            </w:r>
          </w:p>
        </w:tc>
        <w:tc>
          <w:tcPr>
            <w:tcW w:w="207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12088</w:t>
            </w:r>
          </w:p>
        </w:tc>
      </w:tr>
      <w:tr w:rsidR="00B8592C" w:rsidRPr="00B8592C" w:rsidTr="00B859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 xml:space="preserve">No. of projects financed after rating </w:t>
            </w:r>
          </w:p>
          <w:p w:rsidR="00B8592C" w:rsidRPr="00B8592C" w:rsidRDefault="00B8592C" w:rsidP="00B8592C">
            <w:pPr>
              <w:jc w:val="both"/>
              <w:rPr>
                <w:rFonts w:ascii="Times New Roman" w:hAnsi="Times New Roman" w:cs="Times New Roman"/>
                <w:sz w:val="24"/>
                <w:szCs w:val="24"/>
              </w:rPr>
            </w:pPr>
          </w:p>
        </w:tc>
        <w:tc>
          <w:tcPr>
            <w:tcW w:w="225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4315</w:t>
            </w:r>
          </w:p>
        </w:tc>
        <w:tc>
          <w:tcPr>
            <w:tcW w:w="207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11165</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Amount disbursed to the rated projects (in million taka)</w:t>
            </w:r>
          </w:p>
        </w:tc>
        <w:tc>
          <w:tcPr>
            <w:tcW w:w="225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270951.14</w:t>
            </w:r>
          </w:p>
        </w:tc>
        <w:tc>
          <w:tcPr>
            <w:tcW w:w="207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703633.21</w:t>
            </w:r>
          </w:p>
        </w:tc>
      </w:tr>
    </w:tbl>
    <w:p w:rsidR="00B8592C" w:rsidRPr="00B8592C" w:rsidRDefault="00B8592C" w:rsidP="00B8592C">
      <w:pPr>
        <w:jc w:val="both"/>
        <w:rPr>
          <w:rFonts w:ascii="Times New Roman" w:hAnsi="Times New Roman" w:cs="Times New Roman"/>
          <w:b/>
          <w:sz w:val="20"/>
          <w:szCs w:val="24"/>
        </w:rPr>
      </w:pPr>
      <w:r w:rsidRPr="00B8592C">
        <w:rPr>
          <w:rFonts w:ascii="Times New Roman" w:hAnsi="Times New Roman" w:cs="Times New Roman"/>
          <w:b/>
          <w:sz w:val="20"/>
          <w:szCs w:val="24"/>
        </w:rPr>
        <w:t xml:space="preserve">Source: Bangladesh Bank Annual Report on Green Banking    </w:t>
      </w:r>
    </w:p>
    <w:p w:rsidR="00B8592C" w:rsidRPr="00B8592C" w:rsidRDefault="00B8592C" w:rsidP="00B8592C">
      <w:pPr>
        <w:jc w:val="both"/>
        <w:rPr>
          <w:rFonts w:ascii="Times New Roman" w:hAnsi="Times New Roman" w:cs="Times New Roman"/>
          <w:b/>
          <w:sz w:val="20"/>
          <w:szCs w:val="24"/>
        </w:rPr>
      </w:pPr>
    </w:p>
    <w:p w:rsidR="00B8592C" w:rsidRPr="00B8592C" w:rsidRDefault="00B8592C" w:rsidP="00B8592C">
      <w:pPr>
        <w:spacing w:after="0"/>
        <w:jc w:val="both"/>
        <w:rPr>
          <w:rFonts w:ascii="Times New Roman" w:hAnsi="Times New Roman" w:cs="Times New Roman"/>
          <w:b/>
          <w:sz w:val="20"/>
          <w:szCs w:val="24"/>
        </w:rPr>
      </w:pPr>
      <w:r w:rsidRPr="00B8592C">
        <w:rPr>
          <w:rFonts w:ascii="Times New Roman" w:hAnsi="Times New Roman" w:cs="Times New Roman"/>
          <w:b/>
          <w:sz w:val="20"/>
          <w:szCs w:val="24"/>
        </w:rPr>
        <w:t>3.5.1. Graph: Comparison between 2011 &amp; 2012      Graph: Amount disbursed to the rated projects</w:t>
      </w:r>
    </w:p>
    <w:p w:rsidR="00B8592C" w:rsidRPr="00B8592C" w:rsidRDefault="00B8592C" w:rsidP="00B8592C">
      <w:pPr>
        <w:spacing w:after="0"/>
        <w:jc w:val="both"/>
        <w:rPr>
          <w:rFonts w:ascii="Times New Roman" w:hAnsi="Times New Roman" w:cs="Times New Roman"/>
          <w:b/>
          <w:sz w:val="20"/>
          <w:szCs w:val="24"/>
        </w:rPr>
      </w:pPr>
      <w:r w:rsidRPr="00B8592C">
        <w:rPr>
          <w:rFonts w:ascii="Times New Roman" w:hAnsi="Times New Roman" w:cs="Times New Roman"/>
          <w:b/>
          <w:noProof/>
          <w:sz w:val="20"/>
          <w:szCs w:val="24"/>
        </w:rPr>
        <w:lastRenderedPageBreak/>
        <w:drawing>
          <wp:inline distT="0" distB="0" distL="0" distR="0" wp14:anchorId="4E0F9083" wp14:editId="4627CAC1">
            <wp:extent cx="2705100" cy="2219325"/>
            <wp:effectExtent l="19050" t="0" r="19050" b="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B8592C">
        <w:rPr>
          <w:rFonts w:ascii="Times New Roman" w:hAnsi="Times New Roman" w:cs="Times New Roman"/>
          <w:b/>
          <w:noProof/>
          <w:sz w:val="20"/>
          <w:szCs w:val="24"/>
        </w:rPr>
        <w:drawing>
          <wp:anchor distT="0" distB="0" distL="114300" distR="114300" simplePos="0" relativeHeight="251678720" behindDoc="0" locked="0" layoutInCell="1" allowOverlap="1" wp14:anchorId="7F9A2DCB" wp14:editId="58DBC339">
            <wp:simplePos x="0" y="0"/>
            <wp:positionH relativeFrom="column">
              <wp:posOffset>85725</wp:posOffset>
            </wp:positionH>
            <wp:positionV relativeFrom="paragraph">
              <wp:posOffset>1905</wp:posOffset>
            </wp:positionV>
            <wp:extent cx="2733675" cy="2209800"/>
            <wp:effectExtent l="19050" t="0" r="9525" b="0"/>
            <wp:wrapSquare wrapText="bothSides"/>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Pr="00B8592C">
        <w:rPr>
          <w:rFonts w:ascii="Times New Roman" w:hAnsi="Times New Roman" w:cs="Times New Roman"/>
          <w:b/>
          <w:sz w:val="20"/>
          <w:szCs w:val="24"/>
        </w:rPr>
        <w:br w:type="textWrapping" w:clear="all"/>
        <w:t xml:space="preserve">Source: Bangladesh Bank Annual Report on Green Banking      </w:t>
      </w:r>
    </w:p>
    <w:p w:rsidR="00B8592C" w:rsidRPr="00B8592C" w:rsidRDefault="00B8592C" w:rsidP="00B8592C">
      <w:pPr>
        <w:jc w:val="both"/>
        <w:rPr>
          <w:rFonts w:ascii="Times New Roman" w:hAnsi="Times New Roman" w:cs="Times New Roman"/>
          <w:b/>
          <w:sz w:val="20"/>
          <w:szCs w:val="24"/>
        </w:rPr>
      </w:pPr>
    </w:p>
    <w:p w:rsidR="00B8592C" w:rsidRPr="00B8592C" w:rsidRDefault="00B8592C" w:rsidP="00B8592C">
      <w:pPr>
        <w:spacing w:after="0"/>
        <w:jc w:val="both"/>
        <w:rPr>
          <w:rFonts w:ascii="Times New Roman" w:hAnsi="Times New Roman" w:cs="Times New Roman"/>
          <w:b/>
          <w:sz w:val="28"/>
          <w:szCs w:val="24"/>
        </w:rPr>
      </w:pPr>
      <w:r w:rsidRPr="00B8592C">
        <w:rPr>
          <w:rFonts w:ascii="Times New Roman" w:hAnsi="Times New Roman" w:cs="Times New Roman"/>
          <w:b/>
          <w:sz w:val="28"/>
          <w:szCs w:val="24"/>
        </w:rPr>
        <w:t>3.5.2. Environment Risk Rating in 2013:</w:t>
      </w:r>
    </w:p>
    <w:p w:rsidR="00B8592C" w:rsidRPr="00B8592C" w:rsidRDefault="00B8592C" w:rsidP="00B8592C">
      <w:pPr>
        <w:spacing w:after="0" w:line="360" w:lineRule="auto"/>
        <w:jc w:val="both"/>
        <w:rPr>
          <w:rFonts w:ascii="Times New Roman" w:hAnsi="Times New Roman" w:cs="Times New Roman"/>
          <w:sz w:val="24"/>
          <w:szCs w:val="24"/>
        </w:rPr>
      </w:pPr>
      <w:r w:rsidRPr="00B8592C">
        <w:rPr>
          <w:rFonts w:ascii="Times New Roman" w:hAnsi="Times New Roman" w:cs="Times New Roman"/>
          <w:sz w:val="24"/>
          <w:szCs w:val="24"/>
        </w:rPr>
        <w:t xml:space="preserve">45 banks have conducted environmental risk rating in the reporting annually in 2013. </w:t>
      </w:r>
      <w:proofErr w:type="spellStart"/>
      <w:r w:rsidRPr="00B8592C">
        <w:rPr>
          <w:rFonts w:ascii="Times New Roman" w:hAnsi="Times New Roman" w:cs="Times New Roman"/>
          <w:sz w:val="24"/>
          <w:szCs w:val="24"/>
        </w:rPr>
        <w:t>Janata</w:t>
      </w:r>
      <w:proofErr w:type="spellEnd"/>
      <w:r w:rsidRPr="00B8592C">
        <w:rPr>
          <w:rFonts w:ascii="Times New Roman" w:hAnsi="Times New Roman" w:cs="Times New Roman"/>
          <w:sz w:val="24"/>
          <w:szCs w:val="24"/>
        </w:rPr>
        <w:t xml:space="preserve"> Bank Ltd. And National Bank of Pakistan </w:t>
      </w:r>
      <w:proofErr w:type="gramStart"/>
      <w:r w:rsidRPr="00B8592C">
        <w:rPr>
          <w:rFonts w:ascii="Times New Roman" w:hAnsi="Times New Roman" w:cs="Times New Roman"/>
          <w:sz w:val="24"/>
          <w:szCs w:val="24"/>
        </w:rPr>
        <w:t>are</w:t>
      </w:r>
      <w:proofErr w:type="gramEnd"/>
      <w:r w:rsidRPr="00B8592C">
        <w:rPr>
          <w:rFonts w:ascii="Times New Roman" w:hAnsi="Times New Roman" w:cs="Times New Roman"/>
          <w:sz w:val="24"/>
          <w:szCs w:val="24"/>
        </w:rPr>
        <w:t xml:space="preserve"> the two banks that have not pursued ERR. According to that, number of projects applicable for Environmental Due Diligence (EDD) rating in this annually is 35107. The annually shift of ERR by banks and FIs is showing a consistent trend.</w:t>
      </w:r>
    </w:p>
    <w:p w:rsidR="00B8592C" w:rsidRPr="00B8592C" w:rsidRDefault="00B8592C" w:rsidP="00B8592C">
      <w:pPr>
        <w:spacing w:after="0"/>
        <w:jc w:val="center"/>
        <w:rPr>
          <w:rFonts w:ascii="Times New Roman" w:hAnsi="Times New Roman" w:cs="Times New Roman"/>
          <w:b/>
          <w:sz w:val="20"/>
          <w:szCs w:val="24"/>
        </w:rPr>
      </w:pPr>
    </w:p>
    <w:p w:rsidR="00B8592C" w:rsidRPr="00B8592C" w:rsidRDefault="00B8592C" w:rsidP="00B8592C">
      <w:pPr>
        <w:spacing w:after="0"/>
        <w:jc w:val="center"/>
        <w:rPr>
          <w:rFonts w:ascii="Times New Roman" w:hAnsi="Times New Roman" w:cs="Times New Roman"/>
          <w:b/>
          <w:sz w:val="20"/>
          <w:szCs w:val="24"/>
        </w:rPr>
      </w:pPr>
    </w:p>
    <w:p w:rsidR="00B8592C" w:rsidRPr="00B8592C" w:rsidRDefault="00B8592C" w:rsidP="00B8592C">
      <w:pPr>
        <w:spacing w:after="0"/>
        <w:jc w:val="center"/>
        <w:rPr>
          <w:rFonts w:ascii="Times New Roman" w:hAnsi="Times New Roman" w:cs="Times New Roman"/>
          <w:b/>
          <w:sz w:val="20"/>
          <w:szCs w:val="24"/>
        </w:rPr>
      </w:pPr>
    </w:p>
    <w:p w:rsidR="00B8592C" w:rsidRPr="00B8592C" w:rsidRDefault="00B8592C" w:rsidP="00B8592C">
      <w:pPr>
        <w:spacing w:after="0"/>
        <w:jc w:val="center"/>
        <w:rPr>
          <w:rFonts w:ascii="Times New Roman" w:hAnsi="Times New Roman" w:cs="Times New Roman"/>
          <w:b/>
          <w:sz w:val="20"/>
          <w:szCs w:val="24"/>
        </w:rPr>
      </w:pPr>
    </w:p>
    <w:p w:rsidR="00B8592C" w:rsidRPr="00B8592C" w:rsidRDefault="00B8592C" w:rsidP="00B8592C">
      <w:pPr>
        <w:spacing w:after="0"/>
        <w:jc w:val="center"/>
        <w:rPr>
          <w:rFonts w:ascii="Times New Roman" w:hAnsi="Times New Roman" w:cs="Times New Roman"/>
          <w:b/>
          <w:sz w:val="20"/>
          <w:szCs w:val="24"/>
        </w:rPr>
      </w:pPr>
      <w:r w:rsidRPr="00B8592C">
        <w:rPr>
          <w:rFonts w:ascii="Times New Roman" w:hAnsi="Times New Roman" w:cs="Times New Roman"/>
          <w:b/>
          <w:sz w:val="20"/>
          <w:szCs w:val="24"/>
        </w:rPr>
        <w:t>3.5.2. Table: Environment risk rating 2013</w:t>
      </w:r>
    </w:p>
    <w:tbl>
      <w:tblPr>
        <w:tblStyle w:val="LightGrid-Accent11"/>
        <w:tblW w:w="0" w:type="auto"/>
        <w:tblLook w:val="04A0" w:firstRow="1" w:lastRow="0" w:firstColumn="1" w:lastColumn="0" w:noHBand="0" w:noVBand="1"/>
      </w:tblPr>
      <w:tblGrid>
        <w:gridCol w:w="1998"/>
        <w:gridCol w:w="1890"/>
        <w:gridCol w:w="1800"/>
        <w:gridCol w:w="1800"/>
        <w:gridCol w:w="1755"/>
      </w:tblGrid>
      <w:tr w:rsidR="00B8592C" w:rsidRPr="00B8592C" w:rsidTr="00B85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Types of Bank</w:t>
            </w:r>
          </w:p>
        </w:tc>
        <w:tc>
          <w:tcPr>
            <w:tcW w:w="189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No. of Projects applicable for EDD</w:t>
            </w:r>
          </w:p>
        </w:tc>
        <w:tc>
          <w:tcPr>
            <w:tcW w:w="180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No. of projects Rated</w:t>
            </w:r>
          </w:p>
        </w:tc>
        <w:tc>
          <w:tcPr>
            <w:tcW w:w="180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No. of Rated Projects Financed</w:t>
            </w:r>
          </w:p>
        </w:tc>
        <w:tc>
          <w:tcPr>
            <w:tcW w:w="1755"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Amount Disbursed in rated projects.</w:t>
            </w:r>
          </w:p>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(million taka)</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SCBs</w:t>
            </w:r>
          </w:p>
          <w:p w:rsidR="00B8592C" w:rsidRPr="00B8592C" w:rsidRDefault="00B8592C" w:rsidP="00B8592C">
            <w:pPr>
              <w:jc w:val="center"/>
              <w:rPr>
                <w:rFonts w:ascii="Times New Roman" w:hAnsi="Times New Roman" w:cs="Times New Roman"/>
                <w:sz w:val="24"/>
                <w:szCs w:val="24"/>
              </w:rPr>
            </w:pP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496</w:t>
            </w: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328</w:t>
            </w: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232</w:t>
            </w:r>
          </w:p>
        </w:tc>
        <w:tc>
          <w:tcPr>
            <w:tcW w:w="175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20950.07</w:t>
            </w:r>
          </w:p>
        </w:tc>
      </w:tr>
      <w:tr w:rsidR="00B8592C" w:rsidRPr="00B8592C" w:rsidTr="00B859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SDBs</w:t>
            </w:r>
          </w:p>
          <w:p w:rsidR="00B8592C" w:rsidRPr="00B8592C" w:rsidRDefault="00B8592C" w:rsidP="00B8592C">
            <w:pPr>
              <w:jc w:val="center"/>
              <w:rPr>
                <w:rFonts w:ascii="Times New Roman" w:hAnsi="Times New Roman" w:cs="Times New Roman"/>
                <w:sz w:val="24"/>
                <w:szCs w:val="24"/>
              </w:rPr>
            </w:pPr>
          </w:p>
        </w:tc>
        <w:tc>
          <w:tcPr>
            <w:tcW w:w="189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1058</w:t>
            </w:r>
          </w:p>
        </w:tc>
        <w:tc>
          <w:tcPr>
            <w:tcW w:w="180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983</w:t>
            </w:r>
          </w:p>
        </w:tc>
        <w:tc>
          <w:tcPr>
            <w:tcW w:w="180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983</w:t>
            </w:r>
          </w:p>
        </w:tc>
        <w:tc>
          <w:tcPr>
            <w:tcW w:w="1755"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23122.31</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PCBs</w:t>
            </w:r>
          </w:p>
          <w:p w:rsidR="00B8592C" w:rsidRPr="00B8592C" w:rsidRDefault="00B8592C" w:rsidP="00B8592C">
            <w:pPr>
              <w:jc w:val="center"/>
              <w:rPr>
                <w:rFonts w:ascii="Times New Roman" w:hAnsi="Times New Roman" w:cs="Times New Roman"/>
                <w:sz w:val="24"/>
                <w:szCs w:val="24"/>
              </w:rPr>
            </w:pP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28548</w:t>
            </w: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26821</w:t>
            </w: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24955</w:t>
            </w:r>
          </w:p>
        </w:tc>
        <w:tc>
          <w:tcPr>
            <w:tcW w:w="175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1406842.53</w:t>
            </w:r>
          </w:p>
        </w:tc>
      </w:tr>
      <w:tr w:rsidR="00B8592C" w:rsidRPr="00B8592C" w:rsidTr="00B859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FCBs</w:t>
            </w:r>
          </w:p>
          <w:p w:rsidR="00B8592C" w:rsidRPr="00B8592C" w:rsidRDefault="00B8592C" w:rsidP="00B8592C">
            <w:pPr>
              <w:jc w:val="center"/>
              <w:rPr>
                <w:rFonts w:ascii="Times New Roman" w:hAnsi="Times New Roman" w:cs="Times New Roman"/>
                <w:sz w:val="24"/>
                <w:szCs w:val="24"/>
              </w:rPr>
            </w:pPr>
          </w:p>
        </w:tc>
        <w:tc>
          <w:tcPr>
            <w:tcW w:w="189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4041</w:t>
            </w:r>
          </w:p>
        </w:tc>
        <w:tc>
          <w:tcPr>
            <w:tcW w:w="180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3051</w:t>
            </w:r>
          </w:p>
        </w:tc>
        <w:tc>
          <w:tcPr>
            <w:tcW w:w="180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1507</w:t>
            </w:r>
          </w:p>
        </w:tc>
        <w:tc>
          <w:tcPr>
            <w:tcW w:w="1755"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116674.66</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Newly Scheduled Banks</w:t>
            </w:r>
          </w:p>
          <w:p w:rsidR="00B8592C" w:rsidRPr="00B8592C" w:rsidRDefault="00B8592C" w:rsidP="00B8592C">
            <w:pPr>
              <w:jc w:val="center"/>
              <w:rPr>
                <w:rFonts w:ascii="Times New Roman" w:hAnsi="Times New Roman" w:cs="Times New Roman"/>
                <w:sz w:val="24"/>
                <w:szCs w:val="24"/>
              </w:rPr>
            </w:pP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11</w:t>
            </w: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11</w:t>
            </w: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11</w:t>
            </w:r>
          </w:p>
        </w:tc>
        <w:tc>
          <w:tcPr>
            <w:tcW w:w="175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436.25</w:t>
            </w:r>
          </w:p>
        </w:tc>
      </w:tr>
      <w:tr w:rsidR="00B8592C" w:rsidRPr="00B8592C" w:rsidTr="00B859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FIs</w:t>
            </w:r>
          </w:p>
          <w:p w:rsidR="00B8592C" w:rsidRPr="00B8592C" w:rsidRDefault="00B8592C" w:rsidP="00B8592C">
            <w:pPr>
              <w:jc w:val="center"/>
              <w:rPr>
                <w:rFonts w:ascii="Times New Roman" w:hAnsi="Times New Roman" w:cs="Times New Roman"/>
                <w:sz w:val="24"/>
                <w:szCs w:val="24"/>
              </w:rPr>
            </w:pPr>
          </w:p>
          <w:p w:rsidR="00B8592C" w:rsidRPr="00B8592C" w:rsidRDefault="00B8592C" w:rsidP="00B8592C">
            <w:pPr>
              <w:jc w:val="center"/>
              <w:rPr>
                <w:rFonts w:ascii="Times New Roman" w:hAnsi="Times New Roman" w:cs="Times New Roman"/>
                <w:sz w:val="24"/>
                <w:szCs w:val="24"/>
              </w:rPr>
            </w:pPr>
          </w:p>
        </w:tc>
        <w:tc>
          <w:tcPr>
            <w:tcW w:w="189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953</w:t>
            </w:r>
          </w:p>
        </w:tc>
        <w:tc>
          <w:tcPr>
            <w:tcW w:w="180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931</w:t>
            </w:r>
          </w:p>
        </w:tc>
        <w:tc>
          <w:tcPr>
            <w:tcW w:w="180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857</w:t>
            </w:r>
          </w:p>
        </w:tc>
        <w:tc>
          <w:tcPr>
            <w:tcW w:w="1755"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36858.97</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Total</w:t>
            </w:r>
          </w:p>
          <w:p w:rsidR="00B8592C" w:rsidRPr="00B8592C" w:rsidRDefault="00B8592C" w:rsidP="00B8592C">
            <w:pPr>
              <w:jc w:val="center"/>
              <w:rPr>
                <w:rFonts w:ascii="Times New Roman" w:hAnsi="Times New Roman" w:cs="Times New Roman"/>
                <w:sz w:val="24"/>
                <w:szCs w:val="24"/>
              </w:rPr>
            </w:pP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8592C">
              <w:rPr>
                <w:rFonts w:ascii="Times New Roman" w:hAnsi="Times New Roman" w:cs="Times New Roman"/>
                <w:b/>
                <w:sz w:val="24"/>
                <w:szCs w:val="24"/>
              </w:rPr>
              <w:t>35107</w:t>
            </w: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8592C">
              <w:rPr>
                <w:rFonts w:ascii="Times New Roman" w:hAnsi="Times New Roman" w:cs="Times New Roman"/>
                <w:b/>
                <w:sz w:val="24"/>
                <w:szCs w:val="24"/>
              </w:rPr>
              <w:t>32125</w:t>
            </w: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8592C">
              <w:rPr>
                <w:rFonts w:ascii="Times New Roman" w:hAnsi="Times New Roman" w:cs="Times New Roman"/>
                <w:b/>
                <w:sz w:val="24"/>
                <w:szCs w:val="24"/>
              </w:rPr>
              <w:t>28545</w:t>
            </w:r>
          </w:p>
        </w:tc>
        <w:tc>
          <w:tcPr>
            <w:tcW w:w="175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8592C">
              <w:rPr>
                <w:rFonts w:ascii="Times New Roman" w:hAnsi="Times New Roman" w:cs="Times New Roman"/>
                <w:b/>
                <w:sz w:val="24"/>
                <w:szCs w:val="24"/>
              </w:rPr>
              <w:t>1604884.79</w:t>
            </w:r>
          </w:p>
        </w:tc>
      </w:tr>
    </w:tbl>
    <w:p w:rsidR="00B8592C" w:rsidRPr="00B8592C" w:rsidRDefault="00B8592C" w:rsidP="00B8592C">
      <w:pPr>
        <w:jc w:val="both"/>
        <w:rPr>
          <w:rFonts w:ascii="Times New Roman" w:hAnsi="Times New Roman" w:cs="Times New Roman"/>
          <w:b/>
          <w:sz w:val="20"/>
          <w:szCs w:val="24"/>
        </w:rPr>
      </w:pPr>
      <w:r w:rsidRPr="00B8592C">
        <w:rPr>
          <w:rFonts w:ascii="Times New Roman" w:hAnsi="Times New Roman" w:cs="Times New Roman"/>
          <w:b/>
          <w:sz w:val="20"/>
          <w:szCs w:val="24"/>
        </w:rPr>
        <w:lastRenderedPageBreak/>
        <w:t xml:space="preserve">Source: Bangladesh Bank Annual Report on Green Banking  </w:t>
      </w:r>
    </w:p>
    <w:p w:rsidR="00B8592C" w:rsidRPr="00B8592C" w:rsidRDefault="00B8592C" w:rsidP="00B8592C">
      <w:pPr>
        <w:jc w:val="both"/>
        <w:rPr>
          <w:rFonts w:ascii="Times New Roman" w:hAnsi="Times New Roman" w:cs="Times New Roman"/>
          <w:b/>
          <w:sz w:val="20"/>
          <w:szCs w:val="24"/>
        </w:rPr>
      </w:pPr>
    </w:p>
    <w:p w:rsidR="00B8592C" w:rsidRPr="00B8592C" w:rsidRDefault="00B8592C" w:rsidP="00B8592C">
      <w:pPr>
        <w:spacing w:after="0"/>
        <w:jc w:val="both"/>
        <w:rPr>
          <w:rFonts w:ascii="Times New Roman" w:hAnsi="Times New Roman" w:cs="Times New Roman"/>
          <w:b/>
          <w:sz w:val="20"/>
          <w:szCs w:val="24"/>
        </w:rPr>
      </w:pPr>
      <w:r w:rsidRPr="00B8592C">
        <w:rPr>
          <w:rFonts w:ascii="Times New Roman" w:hAnsi="Times New Roman" w:cs="Times New Roman"/>
          <w:b/>
          <w:sz w:val="20"/>
          <w:szCs w:val="24"/>
        </w:rPr>
        <w:t>3.5.2. Graph: Comparison between 2012&amp; 2013            Graph: Amount disbursed to the rated projects</w:t>
      </w:r>
    </w:p>
    <w:p w:rsidR="00B8592C" w:rsidRPr="00B8592C" w:rsidRDefault="00B8592C" w:rsidP="00B8592C">
      <w:pPr>
        <w:spacing w:after="0"/>
        <w:jc w:val="both"/>
        <w:rPr>
          <w:rFonts w:ascii="Times New Roman" w:hAnsi="Times New Roman" w:cs="Times New Roman"/>
          <w:b/>
          <w:sz w:val="20"/>
          <w:szCs w:val="24"/>
        </w:rPr>
      </w:pPr>
      <w:r w:rsidRPr="00B8592C">
        <w:rPr>
          <w:rFonts w:ascii="Times New Roman" w:hAnsi="Times New Roman" w:cs="Times New Roman"/>
          <w:b/>
          <w:noProof/>
          <w:sz w:val="20"/>
          <w:szCs w:val="24"/>
        </w:rPr>
        <w:drawing>
          <wp:inline distT="0" distB="0" distL="0" distR="0" wp14:anchorId="2C5899B0" wp14:editId="5E0CBD64">
            <wp:extent cx="2705100" cy="2219325"/>
            <wp:effectExtent l="19050" t="0" r="19050" b="0"/>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B8592C">
        <w:rPr>
          <w:rFonts w:ascii="Times New Roman" w:hAnsi="Times New Roman" w:cs="Times New Roman"/>
          <w:b/>
          <w:noProof/>
          <w:sz w:val="20"/>
          <w:szCs w:val="24"/>
        </w:rPr>
        <w:drawing>
          <wp:anchor distT="0" distB="0" distL="114300" distR="114300" simplePos="0" relativeHeight="251679744" behindDoc="0" locked="0" layoutInCell="1" allowOverlap="1" wp14:anchorId="29CA97F8" wp14:editId="5C34DB7C">
            <wp:simplePos x="0" y="0"/>
            <wp:positionH relativeFrom="column">
              <wp:posOffset>85725</wp:posOffset>
            </wp:positionH>
            <wp:positionV relativeFrom="paragraph">
              <wp:posOffset>1905</wp:posOffset>
            </wp:positionV>
            <wp:extent cx="2733675" cy="2209800"/>
            <wp:effectExtent l="19050" t="0" r="9525" b="0"/>
            <wp:wrapSquare wrapText="bothSides"/>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Pr="00B8592C">
        <w:rPr>
          <w:rFonts w:ascii="Times New Roman" w:hAnsi="Times New Roman" w:cs="Times New Roman"/>
          <w:b/>
          <w:sz w:val="20"/>
          <w:szCs w:val="24"/>
        </w:rPr>
        <w:br w:type="textWrapping" w:clear="all"/>
        <w:t xml:space="preserve">Source: Bangladesh Bank Annual Report on Green Banking      </w:t>
      </w:r>
    </w:p>
    <w:p w:rsidR="00B8592C" w:rsidRPr="00B8592C" w:rsidRDefault="00B8592C" w:rsidP="00B8592C">
      <w:pPr>
        <w:spacing w:after="0"/>
        <w:jc w:val="both"/>
        <w:rPr>
          <w:rFonts w:ascii="Times New Roman" w:hAnsi="Times New Roman" w:cs="Times New Roman"/>
          <w:b/>
          <w:sz w:val="20"/>
          <w:szCs w:val="24"/>
        </w:rPr>
      </w:pPr>
    </w:p>
    <w:p w:rsidR="00B8592C" w:rsidRPr="00B8592C" w:rsidRDefault="00B8592C" w:rsidP="00B8592C">
      <w:pPr>
        <w:spacing w:after="0"/>
        <w:jc w:val="both"/>
        <w:rPr>
          <w:rFonts w:ascii="Times New Roman" w:hAnsi="Times New Roman" w:cs="Times New Roman"/>
          <w:b/>
          <w:sz w:val="20"/>
          <w:szCs w:val="24"/>
        </w:rPr>
      </w:pPr>
    </w:p>
    <w:p w:rsidR="00B8592C" w:rsidRPr="00B8592C" w:rsidRDefault="00B8592C" w:rsidP="00B8592C">
      <w:pPr>
        <w:spacing w:after="0"/>
        <w:jc w:val="both"/>
        <w:rPr>
          <w:rFonts w:ascii="Times New Roman" w:hAnsi="Times New Roman" w:cs="Times New Roman"/>
          <w:b/>
          <w:sz w:val="28"/>
          <w:szCs w:val="24"/>
        </w:rPr>
      </w:pPr>
      <w:r w:rsidRPr="00B8592C">
        <w:rPr>
          <w:rFonts w:ascii="Times New Roman" w:hAnsi="Times New Roman" w:cs="Times New Roman"/>
          <w:b/>
          <w:sz w:val="28"/>
          <w:szCs w:val="24"/>
        </w:rPr>
        <w:t>3.5.3. Environment Risk Rating in 2014:</w:t>
      </w:r>
    </w:p>
    <w:p w:rsidR="00B8592C" w:rsidRPr="00B8592C" w:rsidRDefault="00B8592C" w:rsidP="00B8592C">
      <w:pPr>
        <w:spacing w:line="360" w:lineRule="auto"/>
        <w:jc w:val="both"/>
        <w:rPr>
          <w:rFonts w:ascii="Times New Roman" w:hAnsi="Times New Roman" w:cs="Times New Roman"/>
          <w:sz w:val="24"/>
          <w:szCs w:val="24"/>
        </w:rPr>
      </w:pPr>
      <w:r w:rsidRPr="00B8592C">
        <w:rPr>
          <w:rFonts w:ascii="Times New Roman" w:hAnsi="Times New Roman" w:cs="Times New Roman"/>
          <w:sz w:val="24"/>
          <w:szCs w:val="24"/>
        </w:rPr>
        <w:t>56 Banks out of 56 and 30FIs out of 31 have environment risk rating in the reporting annually in 2014. According to that, number of projects applicable for Environment Due Diligence (EDD) rating in this annual is 46618. The annually shift of ERR by banks and FIs is showing a consistent trend.</w:t>
      </w:r>
    </w:p>
    <w:p w:rsidR="00B8592C" w:rsidRPr="00B8592C" w:rsidRDefault="00B8592C" w:rsidP="00B8592C">
      <w:pPr>
        <w:spacing w:after="0"/>
        <w:jc w:val="center"/>
        <w:rPr>
          <w:rFonts w:ascii="Times New Roman" w:hAnsi="Times New Roman" w:cs="Times New Roman"/>
          <w:b/>
          <w:sz w:val="24"/>
          <w:szCs w:val="24"/>
        </w:rPr>
      </w:pPr>
      <w:r w:rsidRPr="00B8592C">
        <w:rPr>
          <w:rFonts w:ascii="Times New Roman" w:hAnsi="Times New Roman" w:cs="Times New Roman"/>
          <w:b/>
          <w:sz w:val="20"/>
          <w:szCs w:val="24"/>
        </w:rPr>
        <w:t>3.5.3. Table: Environment risk rating 2014</w:t>
      </w:r>
    </w:p>
    <w:tbl>
      <w:tblPr>
        <w:tblStyle w:val="LightGrid-Accent2"/>
        <w:tblW w:w="0" w:type="auto"/>
        <w:tblLook w:val="04A0" w:firstRow="1" w:lastRow="0" w:firstColumn="1" w:lastColumn="0" w:noHBand="0" w:noVBand="1"/>
      </w:tblPr>
      <w:tblGrid>
        <w:gridCol w:w="1998"/>
        <w:gridCol w:w="1800"/>
        <w:gridCol w:w="1890"/>
        <w:gridCol w:w="1890"/>
        <w:gridCol w:w="1665"/>
      </w:tblGrid>
      <w:tr w:rsidR="00B8592C" w:rsidRPr="00B8592C" w:rsidTr="00B85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sz w:val="24"/>
              </w:rPr>
            </w:pPr>
            <w:r w:rsidRPr="00B8592C">
              <w:rPr>
                <w:sz w:val="24"/>
              </w:rPr>
              <w:t>Types of Bank</w:t>
            </w:r>
          </w:p>
        </w:tc>
        <w:tc>
          <w:tcPr>
            <w:tcW w:w="180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sz w:val="24"/>
              </w:rPr>
            </w:pPr>
            <w:r w:rsidRPr="00B8592C">
              <w:rPr>
                <w:sz w:val="24"/>
              </w:rPr>
              <w:t>No. of Projects applicable for EDD</w:t>
            </w:r>
          </w:p>
        </w:tc>
        <w:tc>
          <w:tcPr>
            <w:tcW w:w="189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sz w:val="24"/>
              </w:rPr>
            </w:pPr>
            <w:r w:rsidRPr="00B8592C">
              <w:rPr>
                <w:sz w:val="24"/>
              </w:rPr>
              <w:t>No. of projects Rated</w:t>
            </w:r>
          </w:p>
        </w:tc>
        <w:tc>
          <w:tcPr>
            <w:tcW w:w="189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sz w:val="24"/>
              </w:rPr>
            </w:pPr>
            <w:r w:rsidRPr="00B8592C">
              <w:rPr>
                <w:sz w:val="24"/>
              </w:rPr>
              <w:t>No. of Rated Projects Financed</w:t>
            </w:r>
          </w:p>
        </w:tc>
        <w:tc>
          <w:tcPr>
            <w:tcW w:w="1665"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sz w:val="24"/>
              </w:rPr>
            </w:pPr>
            <w:r w:rsidRPr="00B8592C">
              <w:rPr>
                <w:sz w:val="24"/>
              </w:rPr>
              <w:t>Amount Disbursed in rated projects.</w:t>
            </w:r>
          </w:p>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sz w:val="24"/>
              </w:rPr>
            </w:pPr>
            <w:r w:rsidRPr="00B8592C">
              <w:rPr>
                <w:sz w:val="24"/>
              </w:rPr>
              <w:t>(million taka)</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sz w:val="24"/>
              </w:rPr>
            </w:pPr>
            <w:r w:rsidRPr="00B8592C">
              <w:rPr>
                <w:sz w:val="24"/>
              </w:rPr>
              <w:t>SCBs</w:t>
            </w:r>
          </w:p>
          <w:p w:rsidR="00B8592C" w:rsidRPr="00B8592C" w:rsidRDefault="00B8592C" w:rsidP="00B8592C">
            <w:pPr>
              <w:jc w:val="center"/>
              <w:rPr>
                <w:sz w:val="24"/>
              </w:rPr>
            </w:pP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sz w:val="24"/>
              </w:rPr>
            </w:pPr>
            <w:r w:rsidRPr="00B8592C">
              <w:rPr>
                <w:sz w:val="24"/>
              </w:rPr>
              <w:t>1776</w:t>
            </w: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sz w:val="24"/>
              </w:rPr>
            </w:pPr>
            <w:r w:rsidRPr="00B8592C">
              <w:rPr>
                <w:sz w:val="24"/>
              </w:rPr>
              <w:t>1475</w:t>
            </w: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sz w:val="24"/>
              </w:rPr>
            </w:pPr>
            <w:r w:rsidRPr="00B8592C">
              <w:rPr>
                <w:sz w:val="24"/>
              </w:rPr>
              <w:t>1303</w:t>
            </w:r>
          </w:p>
        </w:tc>
        <w:tc>
          <w:tcPr>
            <w:tcW w:w="166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sz w:val="24"/>
              </w:rPr>
            </w:pPr>
            <w:r w:rsidRPr="00B8592C">
              <w:rPr>
                <w:sz w:val="24"/>
              </w:rPr>
              <w:t>27235.35</w:t>
            </w:r>
          </w:p>
        </w:tc>
      </w:tr>
      <w:tr w:rsidR="00B8592C" w:rsidRPr="00B8592C" w:rsidTr="00B859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sz w:val="24"/>
              </w:rPr>
            </w:pPr>
            <w:r w:rsidRPr="00B8592C">
              <w:rPr>
                <w:sz w:val="24"/>
              </w:rPr>
              <w:t>SDBs</w:t>
            </w:r>
          </w:p>
          <w:p w:rsidR="00B8592C" w:rsidRPr="00B8592C" w:rsidRDefault="00B8592C" w:rsidP="00B8592C">
            <w:pPr>
              <w:jc w:val="center"/>
              <w:rPr>
                <w:sz w:val="24"/>
              </w:rPr>
            </w:pPr>
          </w:p>
        </w:tc>
        <w:tc>
          <w:tcPr>
            <w:tcW w:w="180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sz w:val="24"/>
              </w:rPr>
            </w:pPr>
            <w:r w:rsidRPr="00B8592C">
              <w:rPr>
                <w:sz w:val="24"/>
              </w:rPr>
              <w:t>525</w:t>
            </w:r>
          </w:p>
        </w:tc>
        <w:tc>
          <w:tcPr>
            <w:tcW w:w="189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sz w:val="24"/>
              </w:rPr>
            </w:pPr>
            <w:r w:rsidRPr="00B8592C">
              <w:rPr>
                <w:sz w:val="24"/>
              </w:rPr>
              <w:t>517</w:t>
            </w:r>
          </w:p>
        </w:tc>
        <w:tc>
          <w:tcPr>
            <w:tcW w:w="189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sz w:val="24"/>
              </w:rPr>
            </w:pPr>
            <w:r w:rsidRPr="00B8592C">
              <w:rPr>
                <w:sz w:val="24"/>
              </w:rPr>
              <w:t>517</w:t>
            </w:r>
          </w:p>
        </w:tc>
        <w:tc>
          <w:tcPr>
            <w:tcW w:w="1665"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sz w:val="24"/>
              </w:rPr>
            </w:pPr>
            <w:r w:rsidRPr="00B8592C">
              <w:rPr>
                <w:sz w:val="24"/>
              </w:rPr>
              <w:t>7994.33</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sz w:val="24"/>
              </w:rPr>
            </w:pPr>
            <w:r w:rsidRPr="00B8592C">
              <w:rPr>
                <w:sz w:val="24"/>
              </w:rPr>
              <w:t>PCBs</w:t>
            </w:r>
          </w:p>
          <w:p w:rsidR="00B8592C" w:rsidRPr="00B8592C" w:rsidRDefault="00B8592C" w:rsidP="00B8592C">
            <w:pPr>
              <w:jc w:val="center"/>
              <w:rPr>
                <w:sz w:val="24"/>
              </w:rPr>
            </w:pP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sz w:val="24"/>
              </w:rPr>
            </w:pPr>
            <w:r w:rsidRPr="00B8592C">
              <w:rPr>
                <w:sz w:val="24"/>
              </w:rPr>
              <w:t>38252</w:t>
            </w: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sz w:val="24"/>
              </w:rPr>
            </w:pPr>
            <w:r w:rsidRPr="00B8592C">
              <w:rPr>
                <w:sz w:val="24"/>
              </w:rPr>
              <w:t>32657</w:t>
            </w: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sz w:val="24"/>
              </w:rPr>
            </w:pPr>
            <w:r w:rsidRPr="00B8592C">
              <w:rPr>
                <w:sz w:val="24"/>
              </w:rPr>
              <w:t>27385</w:t>
            </w:r>
          </w:p>
        </w:tc>
        <w:tc>
          <w:tcPr>
            <w:tcW w:w="166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sz w:val="24"/>
              </w:rPr>
            </w:pPr>
            <w:r w:rsidRPr="00B8592C">
              <w:rPr>
                <w:sz w:val="24"/>
              </w:rPr>
              <w:t>1290342.28</w:t>
            </w:r>
          </w:p>
        </w:tc>
      </w:tr>
      <w:tr w:rsidR="00B8592C" w:rsidRPr="00B8592C" w:rsidTr="00B859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sz w:val="24"/>
              </w:rPr>
            </w:pPr>
            <w:r w:rsidRPr="00B8592C">
              <w:rPr>
                <w:sz w:val="24"/>
              </w:rPr>
              <w:t>FCBs</w:t>
            </w:r>
          </w:p>
          <w:p w:rsidR="00B8592C" w:rsidRPr="00B8592C" w:rsidRDefault="00B8592C" w:rsidP="00B8592C">
            <w:pPr>
              <w:jc w:val="center"/>
              <w:rPr>
                <w:sz w:val="24"/>
              </w:rPr>
            </w:pPr>
          </w:p>
        </w:tc>
        <w:tc>
          <w:tcPr>
            <w:tcW w:w="180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sz w:val="24"/>
              </w:rPr>
            </w:pPr>
            <w:r w:rsidRPr="00B8592C">
              <w:rPr>
                <w:sz w:val="24"/>
              </w:rPr>
              <w:t>3406</w:t>
            </w:r>
          </w:p>
        </w:tc>
        <w:tc>
          <w:tcPr>
            <w:tcW w:w="189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sz w:val="24"/>
              </w:rPr>
            </w:pPr>
            <w:r w:rsidRPr="00B8592C">
              <w:rPr>
                <w:sz w:val="24"/>
              </w:rPr>
              <w:t>2664</w:t>
            </w:r>
          </w:p>
        </w:tc>
        <w:tc>
          <w:tcPr>
            <w:tcW w:w="189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sz w:val="24"/>
              </w:rPr>
            </w:pPr>
            <w:r w:rsidRPr="00B8592C">
              <w:rPr>
                <w:sz w:val="24"/>
              </w:rPr>
              <w:t>1170</w:t>
            </w:r>
          </w:p>
        </w:tc>
        <w:tc>
          <w:tcPr>
            <w:tcW w:w="1665"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sz w:val="24"/>
              </w:rPr>
            </w:pPr>
            <w:r w:rsidRPr="00B8592C">
              <w:rPr>
                <w:sz w:val="24"/>
              </w:rPr>
              <w:t>105772.1</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sz w:val="24"/>
              </w:rPr>
            </w:pPr>
            <w:r w:rsidRPr="00B8592C">
              <w:rPr>
                <w:sz w:val="24"/>
              </w:rPr>
              <w:t>Newly Scheduled Banks</w:t>
            </w: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sz w:val="24"/>
              </w:rPr>
            </w:pPr>
            <w:r w:rsidRPr="00B8592C">
              <w:rPr>
                <w:sz w:val="24"/>
              </w:rPr>
              <w:t>69</w:t>
            </w: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sz w:val="24"/>
              </w:rPr>
            </w:pPr>
            <w:r w:rsidRPr="00B8592C">
              <w:rPr>
                <w:sz w:val="24"/>
              </w:rPr>
              <w:t>60</w:t>
            </w: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sz w:val="24"/>
              </w:rPr>
            </w:pPr>
            <w:r w:rsidRPr="00B8592C">
              <w:rPr>
                <w:sz w:val="24"/>
              </w:rPr>
              <w:t>60</w:t>
            </w:r>
          </w:p>
        </w:tc>
        <w:tc>
          <w:tcPr>
            <w:tcW w:w="166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sz w:val="24"/>
              </w:rPr>
            </w:pPr>
            <w:r w:rsidRPr="00B8592C">
              <w:rPr>
                <w:sz w:val="24"/>
              </w:rPr>
              <w:t>11076.64</w:t>
            </w:r>
          </w:p>
        </w:tc>
      </w:tr>
      <w:tr w:rsidR="00B8592C" w:rsidRPr="00B8592C" w:rsidTr="00B8592C">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sz w:val="24"/>
              </w:rPr>
            </w:pPr>
            <w:r w:rsidRPr="00B8592C">
              <w:rPr>
                <w:sz w:val="24"/>
              </w:rPr>
              <w:t>FIs</w:t>
            </w:r>
          </w:p>
          <w:p w:rsidR="00B8592C" w:rsidRPr="00B8592C" w:rsidRDefault="00B8592C" w:rsidP="00B8592C">
            <w:pPr>
              <w:jc w:val="center"/>
              <w:rPr>
                <w:sz w:val="24"/>
              </w:rPr>
            </w:pPr>
          </w:p>
        </w:tc>
        <w:tc>
          <w:tcPr>
            <w:tcW w:w="180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sz w:val="24"/>
              </w:rPr>
            </w:pPr>
            <w:r w:rsidRPr="00B8592C">
              <w:rPr>
                <w:sz w:val="24"/>
              </w:rPr>
              <w:t>2590</w:t>
            </w:r>
          </w:p>
        </w:tc>
        <w:tc>
          <w:tcPr>
            <w:tcW w:w="189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sz w:val="24"/>
              </w:rPr>
            </w:pPr>
            <w:r w:rsidRPr="00B8592C">
              <w:rPr>
                <w:sz w:val="24"/>
              </w:rPr>
              <w:t>2468</w:t>
            </w:r>
          </w:p>
        </w:tc>
        <w:tc>
          <w:tcPr>
            <w:tcW w:w="189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sz w:val="24"/>
              </w:rPr>
            </w:pPr>
            <w:r w:rsidRPr="00B8592C">
              <w:rPr>
                <w:sz w:val="24"/>
              </w:rPr>
              <w:t>2303</w:t>
            </w:r>
          </w:p>
        </w:tc>
        <w:tc>
          <w:tcPr>
            <w:tcW w:w="1665"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sz w:val="24"/>
              </w:rPr>
            </w:pPr>
            <w:r w:rsidRPr="00B8592C">
              <w:rPr>
                <w:sz w:val="24"/>
              </w:rPr>
              <w:t>77356.3</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sz w:val="24"/>
              </w:rPr>
            </w:pPr>
            <w:r w:rsidRPr="00B8592C">
              <w:rPr>
                <w:sz w:val="24"/>
              </w:rPr>
              <w:t>Total</w:t>
            </w:r>
          </w:p>
          <w:p w:rsidR="00B8592C" w:rsidRPr="00B8592C" w:rsidRDefault="00B8592C" w:rsidP="00B8592C">
            <w:pPr>
              <w:jc w:val="center"/>
              <w:rPr>
                <w:sz w:val="24"/>
              </w:rPr>
            </w:pP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b/>
                <w:sz w:val="24"/>
              </w:rPr>
            </w:pPr>
            <w:r w:rsidRPr="00B8592C">
              <w:rPr>
                <w:b/>
                <w:sz w:val="24"/>
              </w:rPr>
              <w:lastRenderedPageBreak/>
              <w:t>46618</w:t>
            </w: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b/>
                <w:sz w:val="24"/>
              </w:rPr>
            </w:pPr>
            <w:r w:rsidRPr="00B8592C">
              <w:rPr>
                <w:b/>
                <w:sz w:val="24"/>
              </w:rPr>
              <w:t>39841</w:t>
            </w: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b/>
                <w:sz w:val="24"/>
              </w:rPr>
            </w:pPr>
            <w:r w:rsidRPr="00B8592C">
              <w:rPr>
                <w:b/>
                <w:sz w:val="24"/>
              </w:rPr>
              <w:t>32738</w:t>
            </w:r>
          </w:p>
        </w:tc>
        <w:tc>
          <w:tcPr>
            <w:tcW w:w="166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b/>
                <w:sz w:val="24"/>
              </w:rPr>
            </w:pPr>
            <w:r w:rsidRPr="00B8592C">
              <w:rPr>
                <w:b/>
                <w:sz w:val="24"/>
              </w:rPr>
              <w:t>1519777</w:t>
            </w:r>
          </w:p>
        </w:tc>
      </w:tr>
    </w:tbl>
    <w:p w:rsidR="00B8592C" w:rsidRPr="00B8592C" w:rsidRDefault="00B8592C" w:rsidP="00B8592C">
      <w:pPr>
        <w:jc w:val="both"/>
        <w:rPr>
          <w:rFonts w:ascii="Times New Roman" w:hAnsi="Times New Roman" w:cs="Times New Roman"/>
          <w:b/>
          <w:sz w:val="20"/>
          <w:szCs w:val="24"/>
        </w:rPr>
      </w:pPr>
      <w:r w:rsidRPr="00B8592C">
        <w:rPr>
          <w:rFonts w:ascii="Times New Roman" w:hAnsi="Times New Roman" w:cs="Times New Roman"/>
          <w:b/>
          <w:sz w:val="20"/>
          <w:szCs w:val="24"/>
        </w:rPr>
        <w:lastRenderedPageBreak/>
        <w:t xml:space="preserve">Source: Bangladesh Bank Annual Report on Green Banking      </w:t>
      </w:r>
    </w:p>
    <w:p w:rsidR="00B8592C" w:rsidRPr="00B8592C" w:rsidRDefault="00B8592C" w:rsidP="00B8592C">
      <w:pPr>
        <w:jc w:val="both"/>
        <w:rPr>
          <w:rFonts w:ascii="Times New Roman" w:hAnsi="Times New Roman" w:cs="Times New Roman"/>
          <w:b/>
          <w:sz w:val="20"/>
          <w:szCs w:val="24"/>
        </w:rPr>
      </w:pPr>
    </w:p>
    <w:p w:rsidR="00B8592C" w:rsidRPr="00B8592C" w:rsidRDefault="00B8592C" w:rsidP="00B8592C">
      <w:pPr>
        <w:spacing w:after="0"/>
        <w:jc w:val="both"/>
        <w:rPr>
          <w:rFonts w:ascii="Times New Roman" w:hAnsi="Times New Roman" w:cs="Times New Roman"/>
          <w:b/>
          <w:sz w:val="20"/>
          <w:szCs w:val="24"/>
        </w:rPr>
      </w:pPr>
      <w:r w:rsidRPr="00B8592C">
        <w:rPr>
          <w:rFonts w:ascii="Times New Roman" w:hAnsi="Times New Roman" w:cs="Times New Roman"/>
          <w:b/>
          <w:sz w:val="20"/>
          <w:szCs w:val="24"/>
        </w:rPr>
        <w:t>3.5.3</w:t>
      </w:r>
      <w:proofErr w:type="gramStart"/>
      <w:r w:rsidRPr="00B8592C">
        <w:rPr>
          <w:rFonts w:ascii="Times New Roman" w:hAnsi="Times New Roman" w:cs="Times New Roman"/>
          <w:b/>
          <w:sz w:val="20"/>
          <w:szCs w:val="24"/>
        </w:rPr>
        <w:t>.Graph</w:t>
      </w:r>
      <w:proofErr w:type="gramEnd"/>
      <w:r w:rsidRPr="00B8592C">
        <w:rPr>
          <w:rFonts w:ascii="Times New Roman" w:hAnsi="Times New Roman" w:cs="Times New Roman"/>
          <w:b/>
          <w:sz w:val="20"/>
          <w:szCs w:val="24"/>
        </w:rPr>
        <w:t>: Comparison between 2013 &amp; 2014         Graph: Amount disbursed to the rated projects</w:t>
      </w:r>
    </w:p>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b/>
          <w:noProof/>
          <w:sz w:val="20"/>
          <w:szCs w:val="24"/>
        </w:rPr>
        <w:drawing>
          <wp:inline distT="0" distB="0" distL="0" distR="0" wp14:anchorId="3B7E36F8" wp14:editId="740F926C">
            <wp:extent cx="2705100" cy="2219325"/>
            <wp:effectExtent l="19050" t="0" r="19050" b="0"/>
            <wp:docPr id="1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B8592C">
        <w:rPr>
          <w:rFonts w:ascii="Times New Roman" w:hAnsi="Times New Roman" w:cs="Times New Roman"/>
          <w:b/>
          <w:noProof/>
          <w:sz w:val="20"/>
          <w:szCs w:val="24"/>
        </w:rPr>
        <w:drawing>
          <wp:anchor distT="0" distB="0" distL="114300" distR="114300" simplePos="0" relativeHeight="251680768" behindDoc="0" locked="0" layoutInCell="1" allowOverlap="1" wp14:anchorId="147125BC" wp14:editId="53C1515F">
            <wp:simplePos x="0" y="0"/>
            <wp:positionH relativeFrom="column">
              <wp:posOffset>85725</wp:posOffset>
            </wp:positionH>
            <wp:positionV relativeFrom="paragraph">
              <wp:posOffset>1905</wp:posOffset>
            </wp:positionV>
            <wp:extent cx="2733675" cy="2209800"/>
            <wp:effectExtent l="19050" t="0" r="9525" b="0"/>
            <wp:wrapSquare wrapText="bothSides"/>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Pr="00B8592C">
        <w:rPr>
          <w:rFonts w:ascii="Times New Roman" w:hAnsi="Times New Roman" w:cs="Times New Roman"/>
          <w:b/>
          <w:sz w:val="20"/>
          <w:szCs w:val="24"/>
        </w:rPr>
        <w:br w:type="textWrapping" w:clear="all"/>
        <w:t>Source: Bangladesh Bank Annual Report on Green</w:t>
      </w:r>
    </w:p>
    <w:p w:rsidR="00B8592C" w:rsidRPr="00B8592C" w:rsidRDefault="00B8592C" w:rsidP="00B8592C">
      <w:pPr>
        <w:jc w:val="both"/>
        <w:rPr>
          <w:rFonts w:ascii="Times New Roman" w:hAnsi="Times New Roman" w:cs="Times New Roman"/>
          <w:sz w:val="24"/>
          <w:szCs w:val="24"/>
        </w:rPr>
      </w:pPr>
    </w:p>
    <w:p w:rsidR="00B8592C" w:rsidRPr="00B8592C" w:rsidRDefault="00B8592C" w:rsidP="00B8592C">
      <w:pPr>
        <w:spacing w:after="0"/>
        <w:jc w:val="both"/>
        <w:rPr>
          <w:rFonts w:ascii="Times New Roman" w:hAnsi="Times New Roman" w:cs="Times New Roman"/>
          <w:b/>
          <w:sz w:val="28"/>
          <w:szCs w:val="24"/>
        </w:rPr>
      </w:pPr>
      <w:r w:rsidRPr="00B8592C">
        <w:rPr>
          <w:rFonts w:ascii="Times New Roman" w:hAnsi="Times New Roman" w:cs="Times New Roman"/>
          <w:b/>
          <w:sz w:val="28"/>
          <w:szCs w:val="24"/>
        </w:rPr>
        <w:t>3.5.4. Environment Risk Rating in 2015:</w:t>
      </w:r>
    </w:p>
    <w:p w:rsidR="00B8592C" w:rsidRPr="00B8592C" w:rsidRDefault="00B8592C" w:rsidP="00B8592C">
      <w:pPr>
        <w:spacing w:line="360" w:lineRule="auto"/>
        <w:jc w:val="both"/>
        <w:rPr>
          <w:rFonts w:ascii="Times New Roman" w:hAnsi="Times New Roman" w:cs="Times New Roman"/>
          <w:sz w:val="24"/>
          <w:szCs w:val="24"/>
        </w:rPr>
      </w:pPr>
      <w:r w:rsidRPr="00B8592C">
        <w:rPr>
          <w:rFonts w:ascii="Times New Roman" w:hAnsi="Times New Roman" w:cs="Times New Roman"/>
          <w:sz w:val="24"/>
          <w:szCs w:val="24"/>
        </w:rPr>
        <w:t>49 Banks out of 56 and 25 FIs out of 31 have conducted environmental risk rating in the reporting annually in 2015. According to that, number of projects applicable for Environment Due Diligence (EDD) rating in this annual is 16223. The annually shift of ERR by banks and FIs is showing a consistent trend.</w:t>
      </w:r>
    </w:p>
    <w:p w:rsidR="00B8592C" w:rsidRPr="00B8592C" w:rsidRDefault="00B8592C" w:rsidP="00B8592C">
      <w:pPr>
        <w:jc w:val="both"/>
        <w:rPr>
          <w:rFonts w:ascii="Times New Roman" w:hAnsi="Times New Roman" w:cs="Times New Roman"/>
          <w:sz w:val="24"/>
          <w:szCs w:val="24"/>
        </w:rPr>
      </w:pPr>
    </w:p>
    <w:p w:rsidR="00B8592C" w:rsidRPr="00B8592C" w:rsidRDefault="00B8592C" w:rsidP="00B8592C">
      <w:pPr>
        <w:jc w:val="both"/>
        <w:rPr>
          <w:rFonts w:ascii="Times New Roman" w:hAnsi="Times New Roman" w:cs="Times New Roman"/>
          <w:sz w:val="24"/>
          <w:szCs w:val="24"/>
        </w:rPr>
      </w:pPr>
    </w:p>
    <w:p w:rsidR="00B8592C" w:rsidRPr="00B8592C" w:rsidRDefault="00B8592C" w:rsidP="00B8592C">
      <w:pPr>
        <w:spacing w:after="0"/>
        <w:jc w:val="center"/>
        <w:rPr>
          <w:rFonts w:ascii="Times New Roman" w:hAnsi="Times New Roman" w:cs="Times New Roman"/>
          <w:b/>
          <w:sz w:val="24"/>
          <w:szCs w:val="24"/>
        </w:rPr>
      </w:pPr>
      <w:r w:rsidRPr="00B8592C">
        <w:rPr>
          <w:rFonts w:ascii="Times New Roman" w:hAnsi="Times New Roman" w:cs="Times New Roman"/>
          <w:b/>
          <w:sz w:val="20"/>
          <w:szCs w:val="24"/>
        </w:rPr>
        <w:t>3.5.4. Table: Environment risk rating 2015 (January – September)</w:t>
      </w:r>
    </w:p>
    <w:tbl>
      <w:tblPr>
        <w:tblStyle w:val="LightGrid-Accent6"/>
        <w:tblW w:w="0" w:type="auto"/>
        <w:tblLook w:val="04A0" w:firstRow="1" w:lastRow="0" w:firstColumn="1" w:lastColumn="0" w:noHBand="0" w:noVBand="1"/>
      </w:tblPr>
      <w:tblGrid>
        <w:gridCol w:w="1998"/>
        <w:gridCol w:w="1800"/>
        <w:gridCol w:w="1890"/>
        <w:gridCol w:w="1890"/>
        <w:gridCol w:w="1665"/>
      </w:tblGrid>
      <w:tr w:rsidR="00B8592C" w:rsidRPr="00B8592C" w:rsidTr="00B85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Types of Bank</w:t>
            </w:r>
          </w:p>
        </w:tc>
        <w:tc>
          <w:tcPr>
            <w:tcW w:w="180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No. of Projects applicable for EDD</w:t>
            </w:r>
          </w:p>
        </w:tc>
        <w:tc>
          <w:tcPr>
            <w:tcW w:w="189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No. of projects Rated</w:t>
            </w:r>
          </w:p>
        </w:tc>
        <w:tc>
          <w:tcPr>
            <w:tcW w:w="189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No. of Rated Projects Financed</w:t>
            </w:r>
          </w:p>
        </w:tc>
        <w:tc>
          <w:tcPr>
            <w:tcW w:w="1665"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Amount Disbursed in rated projects.</w:t>
            </w:r>
          </w:p>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(million taka)</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SCBs</w:t>
            </w:r>
          </w:p>
          <w:p w:rsidR="00B8592C" w:rsidRPr="00B8592C" w:rsidRDefault="00B8592C" w:rsidP="00B8592C">
            <w:pPr>
              <w:jc w:val="center"/>
              <w:rPr>
                <w:rFonts w:ascii="Times New Roman" w:hAnsi="Times New Roman" w:cs="Times New Roman"/>
                <w:sz w:val="24"/>
                <w:szCs w:val="24"/>
              </w:rPr>
            </w:pPr>
          </w:p>
        </w:tc>
        <w:tc>
          <w:tcPr>
            <w:tcW w:w="1800" w:type="dxa"/>
          </w:tcPr>
          <w:p w:rsidR="00B8592C" w:rsidRPr="00B8592C" w:rsidRDefault="00B8592C" w:rsidP="00B8592C">
            <w:pPr>
              <w:tabs>
                <w:tab w:val="left" w:pos="2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1807</w:t>
            </w: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1433</w:t>
            </w: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1414</w:t>
            </w:r>
          </w:p>
        </w:tc>
        <w:tc>
          <w:tcPr>
            <w:tcW w:w="166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30788.68</w:t>
            </w:r>
          </w:p>
        </w:tc>
      </w:tr>
      <w:tr w:rsidR="00B8592C" w:rsidRPr="00B8592C" w:rsidTr="00B859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SDBs</w:t>
            </w:r>
          </w:p>
          <w:p w:rsidR="00B8592C" w:rsidRPr="00B8592C" w:rsidRDefault="00B8592C" w:rsidP="00B8592C">
            <w:pPr>
              <w:jc w:val="center"/>
              <w:rPr>
                <w:rFonts w:ascii="Times New Roman" w:hAnsi="Times New Roman" w:cs="Times New Roman"/>
                <w:sz w:val="24"/>
                <w:szCs w:val="24"/>
              </w:rPr>
            </w:pPr>
          </w:p>
        </w:tc>
        <w:tc>
          <w:tcPr>
            <w:tcW w:w="180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74</w:t>
            </w:r>
          </w:p>
        </w:tc>
        <w:tc>
          <w:tcPr>
            <w:tcW w:w="189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74</w:t>
            </w:r>
          </w:p>
        </w:tc>
        <w:tc>
          <w:tcPr>
            <w:tcW w:w="189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75</w:t>
            </w:r>
          </w:p>
        </w:tc>
        <w:tc>
          <w:tcPr>
            <w:tcW w:w="1665"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2297.97</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PCBs</w:t>
            </w:r>
          </w:p>
          <w:p w:rsidR="00B8592C" w:rsidRPr="00B8592C" w:rsidRDefault="00B8592C" w:rsidP="00B8592C">
            <w:pPr>
              <w:jc w:val="center"/>
              <w:rPr>
                <w:rFonts w:ascii="Times New Roman" w:hAnsi="Times New Roman" w:cs="Times New Roman"/>
                <w:sz w:val="24"/>
                <w:szCs w:val="24"/>
              </w:rPr>
            </w:pP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42612</w:t>
            </w: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35115</w:t>
            </w: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28529</w:t>
            </w:r>
          </w:p>
        </w:tc>
        <w:tc>
          <w:tcPr>
            <w:tcW w:w="166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1016764.87</w:t>
            </w:r>
          </w:p>
        </w:tc>
      </w:tr>
      <w:tr w:rsidR="00B8592C" w:rsidRPr="00B8592C" w:rsidTr="00B859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FCBs</w:t>
            </w:r>
          </w:p>
          <w:p w:rsidR="00B8592C" w:rsidRPr="00B8592C" w:rsidRDefault="00B8592C" w:rsidP="00B8592C">
            <w:pPr>
              <w:jc w:val="center"/>
              <w:rPr>
                <w:rFonts w:ascii="Times New Roman" w:hAnsi="Times New Roman" w:cs="Times New Roman"/>
                <w:sz w:val="24"/>
                <w:szCs w:val="24"/>
              </w:rPr>
            </w:pPr>
          </w:p>
        </w:tc>
        <w:tc>
          <w:tcPr>
            <w:tcW w:w="180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3091</w:t>
            </w:r>
          </w:p>
        </w:tc>
        <w:tc>
          <w:tcPr>
            <w:tcW w:w="189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2394</w:t>
            </w:r>
          </w:p>
        </w:tc>
        <w:tc>
          <w:tcPr>
            <w:tcW w:w="189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1190</w:t>
            </w:r>
          </w:p>
        </w:tc>
        <w:tc>
          <w:tcPr>
            <w:tcW w:w="1665"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82774.18</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Newly Scheduled Banks</w:t>
            </w:r>
          </w:p>
          <w:p w:rsidR="00B8592C" w:rsidRPr="00B8592C" w:rsidRDefault="00B8592C" w:rsidP="00B8592C">
            <w:pPr>
              <w:jc w:val="center"/>
              <w:rPr>
                <w:rFonts w:ascii="Times New Roman" w:hAnsi="Times New Roman" w:cs="Times New Roman"/>
                <w:sz w:val="24"/>
                <w:szCs w:val="24"/>
              </w:rPr>
            </w:pP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lastRenderedPageBreak/>
              <w:t>236</w:t>
            </w: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236</w:t>
            </w: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239</w:t>
            </w:r>
          </w:p>
        </w:tc>
        <w:tc>
          <w:tcPr>
            <w:tcW w:w="166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16537.34</w:t>
            </w:r>
          </w:p>
        </w:tc>
      </w:tr>
      <w:tr w:rsidR="00B8592C" w:rsidRPr="00B8592C" w:rsidTr="00B859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lastRenderedPageBreak/>
              <w:t>FIs</w:t>
            </w:r>
          </w:p>
          <w:p w:rsidR="00B8592C" w:rsidRPr="00B8592C" w:rsidRDefault="00B8592C" w:rsidP="00B8592C">
            <w:pPr>
              <w:jc w:val="center"/>
              <w:rPr>
                <w:rFonts w:ascii="Times New Roman" w:hAnsi="Times New Roman" w:cs="Times New Roman"/>
                <w:sz w:val="24"/>
                <w:szCs w:val="24"/>
              </w:rPr>
            </w:pPr>
          </w:p>
        </w:tc>
        <w:tc>
          <w:tcPr>
            <w:tcW w:w="180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1657</w:t>
            </w:r>
          </w:p>
        </w:tc>
        <w:tc>
          <w:tcPr>
            <w:tcW w:w="189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1821</w:t>
            </w:r>
          </w:p>
        </w:tc>
        <w:tc>
          <w:tcPr>
            <w:tcW w:w="189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1754</w:t>
            </w:r>
          </w:p>
        </w:tc>
        <w:tc>
          <w:tcPr>
            <w:tcW w:w="1665"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50293.08</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Total</w:t>
            </w:r>
          </w:p>
          <w:p w:rsidR="00B8592C" w:rsidRPr="00B8592C" w:rsidRDefault="00B8592C" w:rsidP="00B8592C">
            <w:pPr>
              <w:jc w:val="center"/>
              <w:rPr>
                <w:rFonts w:ascii="Times New Roman" w:hAnsi="Times New Roman" w:cs="Times New Roman"/>
                <w:sz w:val="24"/>
                <w:szCs w:val="24"/>
              </w:rPr>
            </w:pP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8592C">
              <w:rPr>
                <w:rFonts w:ascii="Times New Roman" w:hAnsi="Times New Roman" w:cs="Times New Roman"/>
                <w:b/>
                <w:sz w:val="24"/>
                <w:szCs w:val="24"/>
              </w:rPr>
              <w:t>49477</w:t>
            </w: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8592C">
              <w:rPr>
                <w:rFonts w:ascii="Times New Roman" w:hAnsi="Times New Roman" w:cs="Times New Roman"/>
                <w:b/>
                <w:sz w:val="24"/>
                <w:szCs w:val="24"/>
              </w:rPr>
              <w:t>41073</w:t>
            </w:r>
          </w:p>
        </w:tc>
        <w:tc>
          <w:tcPr>
            <w:tcW w:w="189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8592C">
              <w:rPr>
                <w:rFonts w:ascii="Times New Roman" w:hAnsi="Times New Roman" w:cs="Times New Roman"/>
                <w:b/>
                <w:sz w:val="24"/>
                <w:szCs w:val="24"/>
              </w:rPr>
              <w:t>33201</w:t>
            </w:r>
          </w:p>
        </w:tc>
        <w:tc>
          <w:tcPr>
            <w:tcW w:w="1665"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8592C">
              <w:rPr>
                <w:rFonts w:ascii="Times New Roman" w:hAnsi="Times New Roman" w:cs="Times New Roman"/>
                <w:b/>
                <w:sz w:val="24"/>
                <w:szCs w:val="24"/>
              </w:rPr>
              <w:t>1199456.12</w:t>
            </w:r>
          </w:p>
        </w:tc>
      </w:tr>
    </w:tbl>
    <w:p w:rsidR="00B8592C" w:rsidRPr="00B8592C" w:rsidRDefault="00B8592C" w:rsidP="00B8592C">
      <w:pPr>
        <w:jc w:val="both"/>
        <w:rPr>
          <w:rFonts w:ascii="Times New Roman" w:hAnsi="Times New Roman" w:cs="Times New Roman"/>
          <w:b/>
          <w:sz w:val="20"/>
          <w:szCs w:val="24"/>
        </w:rPr>
      </w:pPr>
      <w:r w:rsidRPr="00B8592C">
        <w:rPr>
          <w:rFonts w:ascii="Times New Roman" w:hAnsi="Times New Roman" w:cs="Times New Roman"/>
          <w:b/>
          <w:sz w:val="20"/>
          <w:szCs w:val="24"/>
        </w:rPr>
        <w:t xml:space="preserve">Source: Bangladesh Bank Annual Report on Green Banking      </w:t>
      </w:r>
    </w:p>
    <w:p w:rsidR="00B8592C" w:rsidRPr="00B8592C" w:rsidRDefault="00B8592C" w:rsidP="00B8592C">
      <w:pPr>
        <w:jc w:val="both"/>
        <w:rPr>
          <w:rFonts w:ascii="Times New Roman" w:hAnsi="Times New Roman" w:cs="Times New Roman"/>
          <w:b/>
          <w:sz w:val="20"/>
          <w:szCs w:val="24"/>
        </w:rPr>
      </w:pPr>
    </w:p>
    <w:p w:rsidR="00B8592C" w:rsidRPr="00B8592C" w:rsidRDefault="00B8592C" w:rsidP="00B8592C">
      <w:pPr>
        <w:spacing w:after="0"/>
        <w:jc w:val="both"/>
        <w:rPr>
          <w:rFonts w:ascii="Times New Roman" w:hAnsi="Times New Roman" w:cs="Times New Roman"/>
          <w:b/>
          <w:sz w:val="20"/>
          <w:szCs w:val="24"/>
        </w:rPr>
      </w:pPr>
      <w:r w:rsidRPr="00B8592C">
        <w:rPr>
          <w:rFonts w:ascii="Times New Roman" w:hAnsi="Times New Roman" w:cs="Times New Roman"/>
          <w:b/>
          <w:sz w:val="20"/>
          <w:szCs w:val="24"/>
        </w:rPr>
        <w:t>3.5.4</w:t>
      </w:r>
      <w:proofErr w:type="gramStart"/>
      <w:r w:rsidRPr="00B8592C">
        <w:rPr>
          <w:rFonts w:ascii="Times New Roman" w:hAnsi="Times New Roman" w:cs="Times New Roman"/>
          <w:b/>
          <w:sz w:val="20"/>
          <w:szCs w:val="24"/>
        </w:rPr>
        <w:t>.Graph</w:t>
      </w:r>
      <w:proofErr w:type="gramEnd"/>
      <w:r w:rsidRPr="00B8592C">
        <w:rPr>
          <w:rFonts w:ascii="Times New Roman" w:hAnsi="Times New Roman" w:cs="Times New Roman"/>
          <w:b/>
          <w:sz w:val="20"/>
          <w:szCs w:val="24"/>
        </w:rPr>
        <w:t>: Comparison between 2014 &amp; 2015        Graph: Amount disbursed to the rated projects</w:t>
      </w:r>
    </w:p>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b/>
          <w:noProof/>
          <w:sz w:val="20"/>
          <w:szCs w:val="24"/>
        </w:rPr>
        <w:drawing>
          <wp:inline distT="0" distB="0" distL="0" distR="0" wp14:anchorId="6973BE8F" wp14:editId="18627102">
            <wp:extent cx="2705100" cy="2219325"/>
            <wp:effectExtent l="19050" t="0" r="19050" b="0"/>
            <wp:docPr id="1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B8592C">
        <w:rPr>
          <w:rFonts w:ascii="Times New Roman" w:hAnsi="Times New Roman" w:cs="Times New Roman"/>
          <w:b/>
          <w:noProof/>
          <w:sz w:val="20"/>
          <w:szCs w:val="24"/>
        </w:rPr>
        <w:drawing>
          <wp:anchor distT="0" distB="0" distL="114300" distR="114300" simplePos="0" relativeHeight="251681792" behindDoc="0" locked="0" layoutInCell="1" allowOverlap="1" wp14:anchorId="13961346" wp14:editId="7F6E2B15">
            <wp:simplePos x="0" y="0"/>
            <wp:positionH relativeFrom="column">
              <wp:posOffset>85725</wp:posOffset>
            </wp:positionH>
            <wp:positionV relativeFrom="paragraph">
              <wp:posOffset>1905</wp:posOffset>
            </wp:positionV>
            <wp:extent cx="2733675" cy="2209800"/>
            <wp:effectExtent l="19050" t="0" r="9525" b="0"/>
            <wp:wrapSquare wrapText="bothSides"/>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r w:rsidRPr="00B8592C">
        <w:rPr>
          <w:rFonts w:ascii="Times New Roman" w:hAnsi="Times New Roman" w:cs="Times New Roman"/>
          <w:b/>
          <w:sz w:val="20"/>
          <w:szCs w:val="24"/>
        </w:rPr>
        <w:br w:type="textWrapping" w:clear="all"/>
        <w:t>Source: Bangladesh Bank Annual Report on Green</w:t>
      </w:r>
    </w:p>
    <w:p w:rsidR="00B8592C" w:rsidRPr="00B8592C" w:rsidRDefault="00B8592C" w:rsidP="00B8592C">
      <w:pPr>
        <w:jc w:val="both"/>
        <w:rPr>
          <w:rFonts w:ascii="Times New Roman" w:hAnsi="Times New Roman" w:cs="Times New Roman"/>
          <w:b/>
          <w:sz w:val="20"/>
          <w:szCs w:val="24"/>
        </w:rPr>
      </w:pPr>
      <w:r w:rsidRPr="00B8592C">
        <w:rPr>
          <w:rFonts w:ascii="Times New Roman" w:hAnsi="Times New Roman" w:cs="Times New Roman"/>
          <w:b/>
          <w:sz w:val="28"/>
          <w:szCs w:val="24"/>
        </w:rPr>
        <w:t>3.6. Refinance Scheme:</w:t>
      </w:r>
    </w:p>
    <w:p w:rsidR="00B8592C" w:rsidRPr="00B8592C" w:rsidRDefault="00B8592C" w:rsidP="00B8592C">
      <w:pPr>
        <w:spacing w:line="360" w:lineRule="auto"/>
        <w:jc w:val="both"/>
        <w:rPr>
          <w:rFonts w:ascii="Times New Roman" w:hAnsi="Times New Roman" w:cs="Times New Roman"/>
          <w:b/>
          <w:color w:val="00B050"/>
          <w:sz w:val="28"/>
          <w:szCs w:val="24"/>
        </w:rPr>
      </w:pPr>
      <w:r w:rsidRPr="00B8592C">
        <w:rPr>
          <w:rFonts w:ascii="Times New Roman" w:hAnsi="Times New Roman" w:cs="Times New Roman"/>
          <w:sz w:val="24"/>
          <w:szCs w:val="24"/>
        </w:rPr>
        <w:t xml:space="preserve">BB is providing to the lending banks refinance at five percent interest per annum, from a taka 2.00 (two) billion refinance window accessible against financing for revolving eco-friendly or ‘green’ initiatives like installation of bio mass based, solar and other renewable energy generations units, effluent treatment plants, adoption of new energy efficient output process and so forth. Under this scheme, refinance is provided to participatory financial institutions </w:t>
      </w:r>
      <w:proofErr w:type="gramStart"/>
      <w:r w:rsidRPr="00B8592C">
        <w:rPr>
          <w:rFonts w:ascii="Times New Roman" w:hAnsi="Times New Roman" w:cs="Times New Roman"/>
          <w:sz w:val="24"/>
          <w:szCs w:val="24"/>
        </w:rPr>
        <w:t>who</w:t>
      </w:r>
      <w:proofErr w:type="gramEnd"/>
      <w:r w:rsidRPr="00B8592C">
        <w:rPr>
          <w:rFonts w:ascii="Times New Roman" w:hAnsi="Times New Roman" w:cs="Times New Roman"/>
          <w:sz w:val="24"/>
          <w:szCs w:val="24"/>
        </w:rPr>
        <w:t xml:space="preserve"> come into agreement with BB. In July – December, 1 PFI has come into agreement. Up to the reporting total number of PFIs </w:t>
      </w:r>
      <w:proofErr w:type="gramStart"/>
      <w:r w:rsidRPr="00B8592C">
        <w:rPr>
          <w:rFonts w:ascii="Times New Roman" w:hAnsi="Times New Roman" w:cs="Times New Roman"/>
          <w:sz w:val="24"/>
          <w:szCs w:val="24"/>
        </w:rPr>
        <w:t>is</w:t>
      </w:r>
      <w:proofErr w:type="gramEnd"/>
      <w:r w:rsidRPr="00B8592C">
        <w:rPr>
          <w:rFonts w:ascii="Times New Roman" w:hAnsi="Times New Roman" w:cs="Times New Roman"/>
          <w:sz w:val="24"/>
          <w:szCs w:val="24"/>
        </w:rPr>
        <w:t xml:space="preserve"> 48 where 34 are banks and 14 are FIs. </w:t>
      </w:r>
      <w:proofErr w:type="gramStart"/>
      <w:r w:rsidRPr="00B8592C">
        <w:rPr>
          <w:rFonts w:ascii="Times New Roman" w:hAnsi="Times New Roman" w:cs="Times New Roman"/>
          <w:sz w:val="24"/>
          <w:szCs w:val="24"/>
        </w:rPr>
        <w:t>Objective of the fund to promote renewable energy and environment friendly financial activity of our country.</w:t>
      </w:r>
      <w:proofErr w:type="gramEnd"/>
      <w:r w:rsidRPr="00B8592C">
        <w:rPr>
          <w:rFonts w:ascii="Times New Roman" w:hAnsi="Times New Roman" w:cs="Times New Roman"/>
          <w:sz w:val="24"/>
          <w:szCs w:val="24"/>
        </w:rPr>
        <w:t xml:space="preserve"> Refinance facilities are extended to the participating banks and financial institutions (PFIs) in this purpose. 34 banks and 14 financial institutions so far have signed participation agreement in January - March, 2015, 37 banks and 15 financial institutions so far have signed participation agreement in Aril – June, 2015 and 40 banks and 16 financial institutions so far have signed participation agreement with Bangladesh Bank. Given below the disbursement scenario of this scheme is furnished below:</w:t>
      </w:r>
    </w:p>
    <w:p w:rsidR="00B8592C" w:rsidRPr="00B8592C" w:rsidRDefault="00B8592C" w:rsidP="00B8592C">
      <w:pPr>
        <w:spacing w:after="0" w:line="360" w:lineRule="auto"/>
        <w:jc w:val="both"/>
        <w:rPr>
          <w:rFonts w:ascii="Times New Roman" w:hAnsi="Times New Roman" w:cs="Times New Roman"/>
          <w:sz w:val="24"/>
          <w:szCs w:val="24"/>
        </w:rPr>
      </w:pPr>
      <w:r w:rsidRPr="00B8592C">
        <w:rPr>
          <w:rFonts w:ascii="Times New Roman" w:hAnsi="Times New Roman" w:cs="Times New Roman"/>
          <w:sz w:val="24"/>
          <w:szCs w:val="24"/>
        </w:rPr>
        <w:t>As of December 2012, Tk. 853.54 million, in December 2014, Tk. 149.06 million and in December 2015, Tk. 329.01 million revolving fund utilized in category wise disbursement.</w:t>
      </w:r>
    </w:p>
    <w:p w:rsidR="00B8592C" w:rsidRPr="00B8592C" w:rsidRDefault="00B8592C" w:rsidP="00B8592C">
      <w:pPr>
        <w:spacing w:after="0" w:line="360" w:lineRule="auto"/>
        <w:jc w:val="both"/>
        <w:rPr>
          <w:rFonts w:ascii="Times New Roman" w:hAnsi="Times New Roman" w:cs="Times New Roman"/>
          <w:sz w:val="24"/>
          <w:szCs w:val="24"/>
        </w:rPr>
      </w:pPr>
    </w:p>
    <w:p w:rsidR="00B8592C" w:rsidRPr="00B8592C" w:rsidRDefault="00B8592C" w:rsidP="00B8592C">
      <w:pPr>
        <w:spacing w:after="0"/>
        <w:jc w:val="center"/>
        <w:rPr>
          <w:rFonts w:ascii="Times New Roman" w:hAnsi="Times New Roman" w:cs="Times New Roman"/>
          <w:b/>
          <w:sz w:val="20"/>
          <w:szCs w:val="24"/>
        </w:rPr>
      </w:pPr>
      <w:r w:rsidRPr="00B8592C">
        <w:rPr>
          <w:rFonts w:ascii="Times New Roman" w:hAnsi="Times New Roman" w:cs="Times New Roman"/>
          <w:b/>
          <w:sz w:val="20"/>
          <w:szCs w:val="24"/>
        </w:rPr>
        <w:t>3.6 Table: Category wise disbursement</w:t>
      </w:r>
    </w:p>
    <w:tbl>
      <w:tblPr>
        <w:tblStyle w:val="LightGrid-Accent11"/>
        <w:tblW w:w="8138" w:type="dxa"/>
        <w:tblInd w:w="918" w:type="dxa"/>
        <w:tblLook w:val="04A0" w:firstRow="1" w:lastRow="0" w:firstColumn="1" w:lastColumn="0" w:noHBand="0" w:noVBand="1"/>
      </w:tblPr>
      <w:tblGrid>
        <w:gridCol w:w="2961"/>
        <w:gridCol w:w="1748"/>
        <w:gridCol w:w="1629"/>
        <w:gridCol w:w="1800"/>
      </w:tblGrid>
      <w:tr w:rsidR="00B8592C" w:rsidRPr="00B8592C" w:rsidTr="00B85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dxa"/>
          </w:tcPr>
          <w:p w:rsidR="00B8592C" w:rsidRPr="00B8592C" w:rsidRDefault="00B8592C" w:rsidP="00B8592C">
            <w:pPr>
              <w:jc w:val="center"/>
              <w:rPr>
                <w:rFonts w:ascii="Times New Roman" w:hAnsi="Times New Roman" w:cs="Times New Roman"/>
                <w:sz w:val="24"/>
                <w:szCs w:val="24"/>
              </w:rPr>
            </w:pPr>
            <w:r w:rsidRPr="00B8592C">
              <w:rPr>
                <w:rFonts w:ascii="Times New Roman" w:hAnsi="Times New Roman" w:cs="Times New Roman"/>
                <w:sz w:val="24"/>
                <w:szCs w:val="24"/>
              </w:rPr>
              <w:t>Category</w:t>
            </w:r>
          </w:p>
        </w:tc>
        <w:tc>
          <w:tcPr>
            <w:tcW w:w="1748"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Amount (TK. in millions) 2012</w:t>
            </w:r>
          </w:p>
        </w:tc>
        <w:tc>
          <w:tcPr>
            <w:tcW w:w="1629"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Amount (TK. in millions) 2014</w:t>
            </w:r>
          </w:p>
        </w:tc>
        <w:tc>
          <w:tcPr>
            <w:tcW w:w="1800" w:type="dxa"/>
          </w:tcPr>
          <w:p w:rsidR="00B8592C" w:rsidRPr="00B8592C" w:rsidRDefault="00B8592C" w:rsidP="00B859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Amount (TK. in millions) 2015</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Solar irrigation Pump</w:t>
            </w:r>
          </w:p>
        </w:tc>
        <w:tc>
          <w:tcPr>
            <w:tcW w:w="1748"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23.90</w:t>
            </w:r>
          </w:p>
        </w:tc>
        <w:tc>
          <w:tcPr>
            <w:tcW w:w="1629"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26.50</w:t>
            </w: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0.60</w:t>
            </w:r>
          </w:p>
        </w:tc>
      </w:tr>
      <w:tr w:rsidR="00B8592C" w:rsidRPr="00B8592C" w:rsidTr="00B859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Solar home system</w:t>
            </w:r>
          </w:p>
        </w:tc>
        <w:tc>
          <w:tcPr>
            <w:tcW w:w="1748"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102.84</w:t>
            </w:r>
          </w:p>
        </w:tc>
        <w:tc>
          <w:tcPr>
            <w:tcW w:w="1629"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26.51</w:t>
            </w:r>
          </w:p>
        </w:tc>
        <w:tc>
          <w:tcPr>
            <w:tcW w:w="180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74.68</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Biogas Plant</w:t>
            </w:r>
          </w:p>
        </w:tc>
        <w:tc>
          <w:tcPr>
            <w:tcW w:w="1748"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262.70</w:t>
            </w:r>
          </w:p>
        </w:tc>
        <w:tc>
          <w:tcPr>
            <w:tcW w:w="1629"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56.55</w:t>
            </w: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63.32</w:t>
            </w:r>
          </w:p>
        </w:tc>
      </w:tr>
      <w:tr w:rsidR="00B8592C" w:rsidRPr="00B8592C" w:rsidTr="00B859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Effluent treatment Plant (ETP)</w:t>
            </w:r>
          </w:p>
        </w:tc>
        <w:tc>
          <w:tcPr>
            <w:tcW w:w="1748"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90.40</w:t>
            </w:r>
          </w:p>
        </w:tc>
        <w:tc>
          <w:tcPr>
            <w:tcW w:w="1629"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w:t>
            </w:r>
          </w:p>
        </w:tc>
        <w:tc>
          <w:tcPr>
            <w:tcW w:w="180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6.40</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Hybrid Hoffman Kiln (HHK)</w:t>
            </w:r>
          </w:p>
        </w:tc>
        <w:tc>
          <w:tcPr>
            <w:tcW w:w="1748"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124.80</w:t>
            </w:r>
          </w:p>
        </w:tc>
        <w:tc>
          <w:tcPr>
            <w:tcW w:w="1629"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w:t>
            </w: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18.32</w:t>
            </w:r>
          </w:p>
        </w:tc>
      </w:tr>
      <w:tr w:rsidR="00B8592C" w:rsidRPr="00B8592C" w:rsidTr="00B859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Solar PV module assembling plant</w:t>
            </w:r>
          </w:p>
        </w:tc>
        <w:tc>
          <w:tcPr>
            <w:tcW w:w="1748"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248.80</w:t>
            </w:r>
          </w:p>
        </w:tc>
        <w:tc>
          <w:tcPr>
            <w:tcW w:w="1629"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w:t>
            </w:r>
          </w:p>
        </w:tc>
        <w:tc>
          <w:tcPr>
            <w:tcW w:w="180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164.43</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 xml:space="preserve">Tunnel Kiln </w:t>
            </w:r>
          </w:p>
        </w:tc>
        <w:tc>
          <w:tcPr>
            <w:tcW w:w="1748"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w:t>
            </w:r>
          </w:p>
        </w:tc>
        <w:tc>
          <w:tcPr>
            <w:tcW w:w="1629"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w:t>
            </w: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8592C" w:rsidRPr="00B8592C" w:rsidTr="00B859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dxa"/>
          </w:tcPr>
          <w:p w:rsidR="00B8592C" w:rsidRPr="00B8592C" w:rsidRDefault="00B8592C" w:rsidP="00B8592C">
            <w:pPr>
              <w:jc w:val="both"/>
              <w:rPr>
                <w:rFonts w:ascii="Times New Roman" w:hAnsi="Times New Roman" w:cs="Times New Roman"/>
                <w:sz w:val="24"/>
                <w:szCs w:val="24"/>
              </w:rPr>
            </w:pPr>
            <w:proofErr w:type="spellStart"/>
            <w:r w:rsidRPr="00B8592C">
              <w:rPr>
                <w:rFonts w:ascii="Times New Roman" w:hAnsi="Times New Roman" w:cs="Times New Roman"/>
                <w:sz w:val="24"/>
                <w:szCs w:val="24"/>
              </w:rPr>
              <w:t>Vermicompost</w:t>
            </w:r>
            <w:proofErr w:type="spellEnd"/>
          </w:p>
        </w:tc>
        <w:tc>
          <w:tcPr>
            <w:tcW w:w="1748"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w:t>
            </w:r>
          </w:p>
        </w:tc>
        <w:tc>
          <w:tcPr>
            <w:tcW w:w="1629"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39.50</w:t>
            </w:r>
          </w:p>
        </w:tc>
        <w:tc>
          <w:tcPr>
            <w:tcW w:w="1800" w:type="dxa"/>
          </w:tcPr>
          <w:p w:rsidR="00B8592C" w:rsidRPr="00B8592C" w:rsidRDefault="00B8592C" w:rsidP="00B8592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8592C">
              <w:rPr>
                <w:rFonts w:ascii="Times New Roman" w:hAnsi="Times New Roman" w:cs="Times New Roman"/>
                <w:sz w:val="24"/>
                <w:szCs w:val="24"/>
              </w:rPr>
              <w:t>1.26</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dxa"/>
          </w:tcPr>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Total</w:t>
            </w:r>
          </w:p>
        </w:tc>
        <w:tc>
          <w:tcPr>
            <w:tcW w:w="1748"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8592C">
              <w:rPr>
                <w:rFonts w:ascii="Times New Roman" w:hAnsi="Times New Roman" w:cs="Times New Roman"/>
                <w:b/>
                <w:sz w:val="24"/>
                <w:szCs w:val="24"/>
              </w:rPr>
              <w:t>853.54</w:t>
            </w:r>
          </w:p>
        </w:tc>
        <w:tc>
          <w:tcPr>
            <w:tcW w:w="1629"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8592C">
              <w:rPr>
                <w:rFonts w:ascii="Times New Roman" w:hAnsi="Times New Roman" w:cs="Times New Roman"/>
                <w:b/>
                <w:sz w:val="24"/>
                <w:szCs w:val="24"/>
              </w:rPr>
              <w:t>149.06</w:t>
            </w:r>
          </w:p>
        </w:tc>
        <w:tc>
          <w:tcPr>
            <w:tcW w:w="1800" w:type="dxa"/>
          </w:tcPr>
          <w:p w:rsidR="00B8592C" w:rsidRPr="00B8592C" w:rsidRDefault="00B8592C" w:rsidP="00B859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8592C">
              <w:rPr>
                <w:rFonts w:ascii="Times New Roman" w:hAnsi="Times New Roman" w:cs="Times New Roman"/>
                <w:b/>
                <w:sz w:val="24"/>
                <w:szCs w:val="24"/>
              </w:rPr>
              <w:t>329.01</w:t>
            </w:r>
          </w:p>
        </w:tc>
      </w:tr>
    </w:tbl>
    <w:p w:rsidR="00B8592C" w:rsidRPr="00B8592C" w:rsidRDefault="00B8592C" w:rsidP="00B8592C">
      <w:pPr>
        <w:jc w:val="center"/>
        <w:rPr>
          <w:rFonts w:ascii="Times New Roman" w:hAnsi="Times New Roman" w:cs="Times New Roman"/>
          <w:b/>
          <w:sz w:val="20"/>
          <w:szCs w:val="24"/>
        </w:rPr>
      </w:pPr>
      <w:r w:rsidRPr="00B8592C">
        <w:rPr>
          <w:rFonts w:ascii="Times New Roman" w:hAnsi="Times New Roman" w:cs="Times New Roman"/>
          <w:b/>
          <w:sz w:val="20"/>
          <w:szCs w:val="24"/>
        </w:rPr>
        <w:t>Source: Bangladesh Bank Annual Report on Green</w:t>
      </w:r>
    </w:p>
    <w:p w:rsidR="00B8592C" w:rsidRPr="00B8592C" w:rsidRDefault="00B8592C" w:rsidP="00B8592C">
      <w:pPr>
        <w:jc w:val="both"/>
        <w:rPr>
          <w:rFonts w:ascii="Times New Roman" w:hAnsi="Times New Roman" w:cs="Times New Roman"/>
          <w:b/>
          <w:sz w:val="20"/>
          <w:szCs w:val="24"/>
        </w:rPr>
      </w:pPr>
    </w:p>
    <w:p w:rsidR="00B8592C" w:rsidRPr="00B8592C" w:rsidRDefault="00B8592C" w:rsidP="00B8592C">
      <w:pPr>
        <w:jc w:val="both"/>
        <w:rPr>
          <w:rFonts w:ascii="Times New Roman" w:hAnsi="Times New Roman" w:cs="Times New Roman"/>
          <w:b/>
          <w:sz w:val="20"/>
          <w:szCs w:val="24"/>
        </w:rPr>
      </w:pPr>
    </w:p>
    <w:p w:rsidR="00B8592C" w:rsidRPr="00B8592C" w:rsidRDefault="00B8592C" w:rsidP="00B8592C">
      <w:pPr>
        <w:jc w:val="both"/>
        <w:rPr>
          <w:rFonts w:ascii="Times New Roman" w:hAnsi="Times New Roman" w:cs="Times New Roman"/>
          <w:b/>
          <w:sz w:val="20"/>
          <w:szCs w:val="24"/>
        </w:rPr>
      </w:pPr>
    </w:p>
    <w:p w:rsidR="00B8592C" w:rsidRPr="00B8592C" w:rsidRDefault="00B8592C" w:rsidP="00B8592C">
      <w:pPr>
        <w:tabs>
          <w:tab w:val="left" w:pos="3751"/>
        </w:tabs>
        <w:spacing w:after="0"/>
        <w:jc w:val="center"/>
        <w:rPr>
          <w:rFonts w:ascii="Times New Roman" w:hAnsi="Times New Roman" w:cs="Times New Roman"/>
          <w:b/>
          <w:sz w:val="20"/>
          <w:szCs w:val="24"/>
        </w:rPr>
      </w:pPr>
      <w:r w:rsidRPr="00B8592C">
        <w:rPr>
          <w:rFonts w:ascii="Times New Roman" w:hAnsi="Times New Roman" w:cs="Times New Roman"/>
          <w:b/>
          <w:sz w:val="20"/>
          <w:szCs w:val="24"/>
        </w:rPr>
        <w:t>3.6 Graph: Sector wise Disbursement of BB</w:t>
      </w:r>
    </w:p>
    <w:p w:rsidR="00B8592C" w:rsidRPr="00B8592C" w:rsidRDefault="00B8592C" w:rsidP="00B8592C">
      <w:pPr>
        <w:spacing w:after="0"/>
        <w:jc w:val="both"/>
        <w:rPr>
          <w:rFonts w:ascii="Times New Roman" w:hAnsi="Times New Roman" w:cs="Times New Roman"/>
          <w:sz w:val="24"/>
          <w:szCs w:val="24"/>
        </w:rPr>
      </w:pPr>
      <w:r w:rsidRPr="00B8592C">
        <w:rPr>
          <w:rFonts w:ascii="Times New Roman" w:hAnsi="Times New Roman" w:cs="Times New Roman"/>
          <w:noProof/>
          <w:sz w:val="24"/>
          <w:szCs w:val="24"/>
        </w:rPr>
        <w:drawing>
          <wp:inline distT="0" distB="0" distL="0" distR="0" wp14:anchorId="6C55F594" wp14:editId="38BB1DF6">
            <wp:extent cx="5860755" cy="3200400"/>
            <wp:effectExtent l="19050" t="0" r="25695" b="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8592C" w:rsidRPr="00B8592C" w:rsidRDefault="00B8592C" w:rsidP="00B8592C">
      <w:pPr>
        <w:jc w:val="both"/>
        <w:rPr>
          <w:rFonts w:ascii="Times New Roman" w:hAnsi="Times New Roman" w:cs="Times New Roman"/>
          <w:b/>
          <w:sz w:val="20"/>
          <w:szCs w:val="24"/>
        </w:rPr>
      </w:pPr>
      <w:r w:rsidRPr="00B8592C">
        <w:rPr>
          <w:rFonts w:ascii="Times New Roman" w:hAnsi="Times New Roman" w:cs="Times New Roman"/>
          <w:b/>
          <w:sz w:val="20"/>
          <w:szCs w:val="24"/>
        </w:rPr>
        <w:t>Source: Bangladesh Bank Annual Report on Green</w:t>
      </w:r>
    </w:p>
    <w:p w:rsidR="00B8592C" w:rsidRPr="00B8592C" w:rsidRDefault="00B8592C" w:rsidP="00B8592C">
      <w:pPr>
        <w:spacing w:line="360" w:lineRule="auto"/>
        <w:jc w:val="both"/>
        <w:rPr>
          <w:rFonts w:ascii="Times New Roman" w:hAnsi="Times New Roman" w:cs="Times New Roman"/>
          <w:sz w:val="24"/>
          <w:szCs w:val="24"/>
        </w:rPr>
      </w:pPr>
      <w:r w:rsidRPr="00B8592C">
        <w:rPr>
          <w:rFonts w:ascii="Times New Roman" w:hAnsi="Times New Roman" w:cs="Times New Roman"/>
          <w:sz w:val="24"/>
          <w:szCs w:val="24"/>
        </w:rPr>
        <w:t>Around 853.54 million has been disbursed under refinance line of BB in 2012, in 2013 there is no available information, 149.06 million has been disbursed under refinance line of BB in 2014 and in 2015 around 329.01 million has been disbursed under refinance line of BB.</w:t>
      </w:r>
    </w:p>
    <w:p w:rsidR="00B8592C" w:rsidRPr="00B8592C" w:rsidRDefault="00B8592C" w:rsidP="00B8592C"/>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tabs>
          <w:tab w:val="left" w:pos="6045"/>
        </w:tabs>
        <w:rPr>
          <w:rFonts w:ascii="Times New Roman" w:hAnsi="Times New Roman" w:cs="Times New Roman"/>
          <w:sz w:val="24"/>
          <w:szCs w:val="28"/>
        </w:rPr>
      </w:pPr>
      <w:r w:rsidRPr="00B8592C">
        <w:rPr>
          <w:rFonts w:ascii="Times New Roman" w:hAnsi="Times New Roman" w:cs="Times New Roman"/>
          <w:noProof/>
          <w:sz w:val="24"/>
          <w:szCs w:val="28"/>
        </w:rPr>
        <w:pict>
          <v:shape id="_x0000_s1041" type="#_x0000_t98" style="position:absolute;margin-left:20.4pt;margin-top:18.4pt;width:433.05pt;height:266pt;z-index:251683840" fillcolor="#92cddc [1944]" strokecolor="#92cddc [1944]" strokeweight="1pt">
            <v:fill color2="#daeef3 [664]" angle="-45" focusposition="1" focussize="" focus="-50%" type="gradient"/>
            <v:shadow on="t" type="perspective" color="#205867 [1608]" opacity=".5" offset="1pt" offset2="-3pt"/>
            <o:extrusion v:ext="view" render="wireFrame"/>
            <v:textbox style="mso-next-textbox:#_x0000_s1041">
              <w:txbxContent>
                <w:p w:rsidR="00B8592C" w:rsidRPr="00972FDC" w:rsidRDefault="00B8592C" w:rsidP="00B8592C">
                  <w:pPr>
                    <w:jc w:val="center"/>
                  </w:pPr>
                </w:p>
                <w:p w:rsidR="00B8592C" w:rsidRPr="00972FDC" w:rsidRDefault="00B8592C" w:rsidP="00B8592C">
                  <w:pPr>
                    <w:jc w:val="center"/>
                    <w:rPr>
                      <w:rFonts w:ascii="Times New Roman" w:hAnsi="Times New Roman" w:cs="Times New Roman"/>
                      <w:b/>
                      <w:sz w:val="44"/>
                      <w:szCs w:val="28"/>
                    </w:rPr>
                  </w:pPr>
                  <w:r w:rsidRPr="00972FDC">
                    <w:rPr>
                      <w:rFonts w:ascii="Times New Roman" w:hAnsi="Times New Roman" w:cs="Times New Roman"/>
                      <w:b/>
                      <w:sz w:val="44"/>
                      <w:szCs w:val="28"/>
                    </w:rPr>
                    <w:t>Chapter –</w:t>
                  </w:r>
                  <w:r>
                    <w:rPr>
                      <w:rFonts w:ascii="Times New Roman" w:hAnsi="Times New Roman" w:cs="Times New Roman"/>
                      <w:b/>
                      <w:sz w:val="44"/>
                      <w:szCs w:val="28"/>
                    </w:rPr>
                    <w:t>5</w:t>
                  </w:r>
                </w:p>
                <w:p w:rsidR="00B8592C" w:rsidRPr="00972FDC" w:rsidRDefault="00B8592C" w:rsidP="00B8592C">
                  <w:pPr>
                    <w:jc w:val="center"/>
                    <w:rPr>
                      <w:rFonts w:ascii="Times New Roman" w:hAnsi="Times New Roman" w:cs="Times New Roman"/>
                      <w:b/>
                      <w:color w:val="00B050"/>
                      <w:sz w:val="56"/>
                      <w:szCs w:val="28"/>
                    </w:rPr>
                  </w:pPr>
                  <w:r>
                    <w:rPr>
                      <w:rFonts w:ascii="Times New Roman" w:hAnsi="Times New Roman" w:cs="Times New Roman"/>
                      <w:b/>
                      <w:color w:val="00B050"/>
                      <w:sz w:val="56"/>
                      <w:szCs w:val="28"/>
                    </w:rPr>
                    <w:t>Budget Allocation &amp; Utilization in Green Finance</w:t>
                  </w:r>
                </w:p>
              </w:txbxContent>
            </v:textbox>
          </v:shape>
        </w:pict>
      </w:r>
      <w:r w:rsidRPr="00B8592C">
        <w:rPr>
          <w:rFonts w:ascii="Times New Roman" w:hAnsi="Times New Roman" w:cs="Times New Roman"/>
          <w:sz w:val="24"/>
          <w:szCs w:val="28"/>
        </w:rPr>
        <w:tab/>
      </w: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sz w:val="24"/>
          <w:szCs w:val="28"/>
        </w:rPr>
      </w:pPr>
    </w:p>
    <w:p w:rsidR="00B8592C" w:rsidRPr="00B8592C" w:rsidRDefault="00B8592C" w:rsidP="00B8592C">
      <w:pPr>
        <w:rPr>
          <w:rFonts w:ascii="Times New Roman" w:hAnsi="Times New Roman" w:cs="Times New Roman"/>
          <w:b/>
          <w:color w:val="7030A0"/>
          <w:sz w:val="28"/>
          <w:szCs w:val="24"/>
        </w:rPr>
      </w:pPr>
    </w:p>
    <w:p w:rsidR="00B8592C" w:rsidRPr="00B8592C" w:rsidRDefault="00B8592C" w:rsidP="00B8592C">
      <w:pPr>
        <w:rPr>
          <w:rFonts w:ascii="Times New Roman" w:hAnsi="Times New Roman" w:cs="Times New Roman"/>
          <w:b/>
          <w:sz w:val="28"/>
          <w:szCs w:val="24"/>
        </w:rPr>
      </w:pPr>
      <w:r w:rsidRPr="00B8592C">
        <w:rPr>
          <w:rFonts w:ascii="Times New Roman" w:hAnsi="Times New Roman" w:cs="Times New Roman"/>
          <w:b/>
          <w:sz w:val="28"/>
          <w:szCs w:val="24"/>
        </w:rPr>
        <w:t xml:space="preserve">4.1. Budget Allocation and Budget Utilization in Green Finance: </w:t>
      </w:r>
    </w:p>
    <w:p w:rsidR="00B8592C" w:rsidRPr="00B8592C" w:rsidRDefault="00B8592C" w:rsidP="00B8592C">
      <w:pPr>
        <w:jc w:val="both"/>
        <w:rPr>
          <w:rFonts w:ascii="Times New Roman" w:hAnsi="Times New Roman" w:cs="Times New Roman"/>
          <w:sz w:val="24"/>
          <w:szCs w:val="24"/>
        </w:rPr>
      </w:pPr>
      <w:r w:rsidRPr="00B8592C">
        <w:rPr>
          <w:rFonts w:ascii="Times New Roman" w:hAnsi="Times New Roman" w:cs="Times New Roman"/>
          <w:sz w:val="24"/>
          <w:szCs w:val="24"/>
        </w:rPr>
        <w:t>Banks are required to allocate a considerable amount for green banking in their annual budgets, which will include 1) Budget for Green Finance 2) Budget for Climate Risk Fund and 3) Budget for Green Marketing Training and Capacity Building.</w:t>
      </w:r>
    </w:p>
    <w:p w:rsidR="00B8592C" w:rsidRPr="00B8592C" w:rsidRDefault="00B8592C" w:rsidP="00B8592C">
      <w:pPr>
        <w:jc w:val="both"/>
        <w:rPr>
          <w:rFonts w:ascii="Times New Roman" w:hAnsi="Times New Roman" w:cs="Times New Roman"/>
          <w:sz w:val="28"/>
          <w:szCs w:val="28"/>
        </w:rPr>
      </w:pPr>
      <w:r w:rsidRPr="00B8592C">
        <w:rPr>
          <w:rFonts w:ascii="Times New Roman" w:hAnsi="Times New Roman" w:cs="Times New Roman"/>
          <w:b/>
          <w:sz w:val="28"/>
          <w:szCs w:val="28"/>
        </w:rPr>
        <w:t>4.2. Annual Budget Allocation and Budget Utilization for 2012</w:t>
      </w:r>
    </w:p>
    <w:p w:rsidR="00B8592C" w:rsidRPr="00B8592C" w:rsidRDefault="00B8592C" w:rsidP="00B8592C">
      <w:pPr>
        <w:spacing w:after="0"/>
        <w:jc w:val="center"/>
        <w:rPr>
          <w:rFonts w:ascii="Times New Roman" w:hAnsi="Times New Roman" w:cs="Times New Roman"/>
          <w:b/>
          <w:sz w:val="20"/>
          <w:szCs w:val="24"/>
        </w:rPr>
      </w:pPr>
      <w:r w:rsidRPr="00B8592C">
        <w:rPr>
          <w:rFonts w:ascii="Times New Roman" w:hAnsi="Times New Roman" w:cs="Times New Roman"/>
          <w:b/>
          <w:sz w:val="18"/>
          <w:szCs w:val="24"/>
        </w:rPr>
        <w:t xml:space="preserve">4.2. Table: Annual </w:t>
      </w:r>
      <w:r w:rsidRPr="00B8592C">
        <w:rPr>
          <w:rFonts w:ascii="Times New Roman" w:hAnsi="Times New Roman" w:cs="Times New Roman"/>
          <w:b/>
          <w:sz w:val="20"/>
          <w:szCs w:val="24"/>
        </w:rPr>
        <w:t>Budget Allocation and Budget Utilization for 2012</w:t>
      </w:r>
    </w:p>
    <w:tbl>
      <w:tblPr>
        <w:tblStyle w:val="MediumGrid3-Accent13"/>
        <w:tblW w:w="9543" w:type="dxa"/>
        <w:tblLook w:val="04A0" w:firstRow="1" w:lastRow="0" w:firstColumn="1" w:lastColumn="0" w:noHBand="0" w:noVBand="1"/>
      </w:tblPr>
      <w:tblGrid>
        <w:gridCol w:w="956"/>
        <w:gridCol w:w="1029"/>
        <w:gridCol w:w="1029"/>
        <w:gridCol w:w="1219"/>
        <w:gridCol w:w="923"/>
        <w:gridCol w:w="1101"/>
        <w:gridCol w:w="1015"/>
        <w:gridCol w:w="1170"/>
        <w:gridCol w:w="1101"/>
      </w:tblGrid>
      <w:tr w:rsidR="00B8592C" w:rsidRPr="00B8592C" w:rsidTr="00B8592C">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957" w:type="dxa"/>
            <w:vMerge w:val="restart"/>
          </w:tcPr>
          <w:p w:rsidR="00B8592C" w:rsidRPr="00B8592C" w:rsidRDefault="00B8592C" w:rsidP="00B8592C">
            <w:pPr>
              <w:spacing w:line="276" w:lineRule="auto"/>
              <w:jc w:val="center"/>
              <w:rPr>
                <w:rFonts w:ascii="Times New Roman" w:hAnsi="Times New Roman" w:cs="Times New Roman"/>
                <w:szCs w:val="24"/>
              </w:rPr>
            </w:pPr>
            <w:r w:rsidRPr="00B8592C">
              <w:rPr>
                <w:rFonts w:ascii="Times New Roman" w:hAnsi="Times New Roman" w:cs="Times New Roman"/>
                <w:szCs w:val="24"/>
              </w:rPr>
              <w:t>Types of Bank</w:t>
            </w:r>
          </w:p>
        </w:tc>
        <w:tc>
          <w:tcPr>
            <w:tcW w:w="4200" w:type="dxa"/>
            <w:gridSpan w:val="4"/>
          </w:tcPr>
          <w:p w:rsidR="00B8592C" w:rsidRPr="00B8592C" w:rsidRDefault="00B8592C" w:rsidP="00B859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Annual Allocation of Fund for 2012</w:t>
            </w:r>
          </w:p>
          <w:p w:rsidR="00B8592C" w:rsidRPr="00B8592C" w:rsidRDefault="00B8592C" w:rsidP="00B859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(In million Tk.)</w:t>
            </w:r>
          </w:p>
        </w:tc>
        <w:tc>
          <w:tcPr>
            <w:tcW w:w="4386" w:type="dxa"/>
            <w:gridSpan w:val="4"/>
          </w:tcPr>
          <w:p w:rsidR="00B8592C" w:rsidRPr="00B8592C" w:rsidRDefault="00B8592C" w:rsidP="00B859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Utilization of Funds for 2012</w:t>
            </w:r>
          </w:p>
          <w:p w:rsidR="00B8592C" w:rsidRPr="00B8592C" w:rsidRDefault="00B8592C" w:rsidP="00B859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(In millions Tk.)</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57" w:type="dxa"/>
            <w:vMerge/>
          </w:tcPr>
          <w:p w:rsidR="00B8592C" w:rsidRPr="00B8592C" w:rsidRDefault="00B8592C" w:rsidP="00B8592C">
            <w:pPr>
              <w:spacing w:line="276" w:lineRule="auto"/>
              <w:rPr>
                <w:rFonts w:ascii="Times New Roman" w:hAnsi="Times New Roman" w:cs="Times New Roman"/>
                <w:color w:val="7030A0"/>
                <w:szCs w:val="24"/>
              </w:rPr>
            </w:pPr>
          </w:p>
        </w:tc>
        <w:tc>
          <w:tcPr>
            <w:tcW w:w="1029"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Green Finance</w:t>
            </w:r>
          </w:p>
        </w:tc>
        <w:tc>
          <w:tcPr>
            <w:tcW w:w="1029"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Climate Risk Fund</w:t>
            </w:r>
          </w:p>
        </w:tc>
        <w:tc>
          <w:tcPr>
            <w:tcW w:w="1219"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Marketing Training and Capacity Building</w:t>
            </w:r>
          </w:p>
        </w:tc>
        <w:tc>
          <w:tcPr>
            <w:tcW w:w="922"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Total</w:t>
            </w:r>
          </w:p>
        </w:tc>
        <w:tc>
          <w:tcPr>
            <w:tcW w:w="1101"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Green Finance</w:t>
            </w:r>
          </w:p>
        </w:tc>
        <w:tc>
          <w:tcPr>
            <w:tcW w:w="1015"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Climate Risk Fund</w:t>
            </w:r>
          </w:p>
        </w:tc>
        <w:tc>
          <w:tcPr>
            <w:tcW w:w="1170"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Marketing Training and Capacity Building</w:t>
            </w:r>
          </w:p>
        </w:tc>
        <w:tc>
          <w:tcPr>
            <w:tcW w:w="1101"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8592C">
              <w:rPr>
                <w:rFonts w:ascii="Times New Roman" w:hAnsi="Times New Roman" w:cs="Times New Roman"/>
                <w:szCs w:val="24"/>
              </w:rPr>
              <w:t>Total</w:t>
            </w:r>
          </w:p>
        </w:tc>
      </w:tr>
      <w:tr w:rsidR="00B8592C" w:rsidRPr="00B8592C" w:rsidTr="00B8592C">
        <w:trPr>
          <w:trHeight w:val="265"/>
        </w:trPr>
        <w:tc>
          <w:tcPr>
            <w:cnfStyle w:val="001000000000" w:firstRow="0" w:lastRow="0" w:firstColumn="1" w:lastColumn="0" w:oddVBand="0" w:evenVBand="0" w:oddHBand="0" w:evenHBand="0" w:firstRowFirstColumn="0" w:firstRowLastColumn="0" w:lastRowFirstColumn="0" w:lastRowLastColumn="0"/>
            <w:tcW w:w="957" w:type="dxa"/>
          </w:tcPr>
          <w:p w:rsidR="00B8592C" w:rsidRPr="00B8592C" w:rsidRDefault="00B8592C" w:rsidP="00B8592C">
            <w:pPr>
              <w:spacing w:line="276" w:lineRule="auto"/>
              <w:rPr>
                <w:rFonts w:ascii="Times New Roman" w:hAnsi="Times New Roman" w:cs="Times New Roman"/>
                <w:szCs w:val="24"/>
              </w:rPr>
            </w:pPr>
            <w:r w:rsidRPr="00B8592C">
              <w:rPr>
                <w:rFonts w:ascii="Times New Roman" w:hAnsi="Times New Roman" w:cs="Times New Roman"/>
                <w:szCs w:val="24"/>
              </w:rPr>
              <w:t>SCBs</w:t>
            </w:r>
          </w:p>
        </w:tc>
        <w:tc>
          <w:tcPr>
            <w:tcW w:w="1029" w:type="dxa"/>
          </w:tcPr>
          <w:p w:rsidR="00B8592C" w:rsidRPr="00B8592C" w:rsidRDefault="00B8592C" w:rsidP="00B8592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030A0"/>
                <w:sz w:val="20"/>
                <w:szCs w:val="20"/>
              </w:rPr>
            </w:pPr>
          </w:p>
        </w:tc>
        <w:tc>
          <w:tcPr>
            <w:tcW w:w="1029"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415.00</w:t>
            </w:r>
          </w:p>
        </w:tc>
        <w:tc>
          <w:tcPr>
            <w:tcW w:w="1219" w:type="dxa"/>
          </w:tcPr>
          <w:p w:rsidR="00B8592C" w:rsidRPr="00B8592C" w:rsidRDefault="00B8592C" w:rsidP="00B8592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030A0"/>
                <w:sz w:val="20"/>
                <w:szCs w:val="20"/>
              </w:rPr>
            </w:pPr>
          </w:p>
        </w:tc>
        <w:tc>
          <w:tcPr>
            <w:tcW w:w="922" w:type="dxa"/>
          </w:tcPr>
          <w:p w:rsidR="00B8592C" w:rsidRPr="00B8592C" w:rsidRDefault="00B8592C" w:rsidP="00B8592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030A0"/>
                <w:sz w:val="20"/>
                <w:szCs w:val="20"/>
              </w:rPr>
            </w:pPr>
          </w:p>
        </w:tc>
        <w:tc>
          <w:tcPr>
            <w:tcW w:w="1101"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6507.25</w:t>
            </w:r>
          </w:p>
        </w:tc>
        <w:tc>
          <w:tcPr>
            <w:tcW w:w="1015"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24.61</w:t>
            </w:r>
          </w:p>
        </w:tc>
        <w:tc>
          <w:tcPr>
            <w:tcW w:w="1170"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1.35</w:t>
            </w:r>
          </w:p>
        </w:tc>
        <w:tc>
          <w:tcPr>
            <w:tcW w:w="1101"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6533.21</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957" w:type="dxa"/>
          </w:tcPr>
          <w:p w:rsidR="00B8592C" w:rsidRPr="00B8592C" w:rsidRDefault="00B8592C" w:rsidP="00B8592C">
            <w:pPr>
              <w:spacing w:line="276" w:lineRule="auto"/>
              <w:rPr>
                <w:rFonts w:ascii="Times New Roman" w:hAnsi="Times New Roman" w:cs="Times New Roman"/>
                <w:szCs w:val="24"/>
              </w:rPr>
            </w:pPr>
            <w:r w:rsidRPr="00B8592C">
              <w:rPr>
                <w:rFonts w:ascii="Times New Roman" w:hAnsi="Times New Roman" w:cs="Times New Roman"/>
                <w:szCs w:val="24"/>
              </w:rPr>
              <w:t>SDBs</w:t>
            </w:r>
          </w:p>
        </w:tc>
        <w:tc>
          <w:tcPr>
            <w:tcW w:w="1029" w:type="dxa"/>
          </w:tcPr>
          <w:p w:rsidR="00B8592C" w:rsidRPr="00B8592C" w:rsidRDefault="00B8592C" w:rsidP="00B8592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030A0"/>
                <w:sz w:val="20"/>
                <w:szCs w:val="20"/>
              </w:rPr>
            </w:pPr>
          </w:p>
        </w:tc>
        <w:tc>
          <w:tcPr>
            <w:tcW w:w="1029"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430.20</w:t>
            </w:r>
          </w:p>
        </w:tc>
        <w:tc>
          <w:tcPr>
            <w:tcW w:w="1219" w:type="dxa"/>
          </w:tcPr>
          <w:p w:rsidR="00B8592C" w:rsidRPr="00B8592C" w:rsidRDefault="00B8592C" w:rsidP="00B8592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030A0"/>
                <w:sz w:val="20"/>
                <w:szCs w:val="20"/>
              </w:rPr>
            </w:pPr>
          </w:p>
        </w:tc>
        <w:tc>
          <w:tcPr>
            <w:tcW w:w="922" w:type="dxa"/>
          </w:tcPr>
          <w:p w:rsidR="00B8592C" w:rsidRPr="00B8592C" w:rsidRDefault="00B8592C" w:rsidP="00B8592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030A0"/>
                <w:sz w:val="20"/>
                <w:szCs w:val="20"/>
              </w:rPr>
            </w:pPr>
          </w:p>
        </w:tc>
        <w:tc>
          <w:tcPr>
            <w:tcW w:w="1101"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8205.06</w:t>
            </w:r>
          </w:p>
        </w:tc>
        <w:tc>
          <w:tcPr>
            <w:tcW w:w="1015"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0.00</w:t>
            </w:r>
          </w:p>
        </w:tc>
        <w:tc>
          <w:tcPr>
            <w:tcW w:w="1170"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0.04</w:t>
            </w:r>
          </w:p>
        </w:tc>
        <w:tc>
          <w:tcPr>
            <w:tcW w:w="1101"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8205.1</w:t>
            </w:r>
          </w:p>
        </w:tc>
      </w:tr>
      <w:tr w:rsidR="00B8592C" w:rsidRPr="00B8592C" w:rsidTr="00B8592C">
        <w:trPr>
          <w:trHeight w:val="265"/>
        </w:trPr>
        <w:tc>
          <w:tcPr>
            <w:cnfStyle w:val="001000000000" w:firstRow="0" w:lastRow="0" w:firstColumn="1" w:lastColumn="0" w:oddVBand="0" w:evenVBand="0" w:oddHBand="0" w:evenHBand="0" w:firstRowFirstColumn="0" w:firstRowLastColumn="0" w:lastRowFirstColumn="0" w:lastRowLastColumn="0"/>
            <w:tcW w:w="957" w:type="dxa"/>
          </w:tcPr>
          <w:p w:rsidR="00B8592C" w:rsidRPr="00B8592C" w:rsidRDefault="00B8592C" w:rsidP="00B8592C">
            <w:pPr>
              <w:spacing w:line="276" w:lineRule="auto"/>
              <w:rPr>
                <w:rFonts w:ascii="Times New Roman" w:hAnsi="Times New Roman" w:cs="Times New Roman"/>
                <w:szCs w:val="24"/>
              </w:rPr>
            </w:pPr>
            <w:r w:rsidRPr="00B8592C">
              <w:rPr>
                <w:rFonts w:ascii="Times New Roman" w:hAnsi="Times New Roman" w:cs="Times New Roman"/>
                <w:szCs w:val="24"/>
              </w:rPr>
              <w:t>PCBs</w:t>
            </w:r>
          </w:p>
        </w:tc>
        <w:tc>
          <w:tcPr>
            <w:tcW w:w="1029" w:type="dxa"/>
          </w:tcPr>
          <w:p w:rsidR="00B8592C" w:rsidRPr="00B8592C" w:rsidRDefault="00B8592C" w:rsidP="00B8592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030A0"/>
                <w:sz w:val="20"/>
                <w:szCs w:val="20"/>
              </w:rPr>
            </w:pPr>
          </w:p>
        </w:tc>
        <w:tc>
          <w:tcPr>
            <w:tcW w:w="1029"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1283.15</w:t>
            </w:r>
          </w:p>
        </w:tc>
        <w:tc>
          <w:tcPr>
            <w:tcW w:w="1219" w:type="dxa"/>
          </w:tcPr>
          <w:p w:rsidR="00B8592C" w:rsidRPr="00B8592C" w:rsidRDefault="00B8592C" w:rsidP="00B8592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030A0"/>
                <w:sz w:val="20"/>
                <w:szCs w:val="20"/>
              </w:rPr>
            </w:pPr>
          </w:p>
        </w:tc>
        <w:tc>
          <w:tcPr>
            <w:tcW w:w="922" w:type="dxa"/>
          </w:tcPr>
          <w:p w:rsidR="00B8592C" w:rsidRPr="00B8592C" w:rsidRDefault="00B8592C" w:rsidP="00B8592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030A0"/>
                <w:sz w:val="20"/>
                <w:szCs w:val="20"/>
              </w:rPr>
            </w:pPr>
          </w:p>
        </w:tc>
        <w:tc>
          <w:tcPr>
            <w:tcW w:w="1101"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178810.91</w:t>
            </w:r>
          </w:p>
        </w:tc>
        <w:tc>
          <w:tcPr>
            <w:tcW w:w="1015"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219.70</w:t>
            </w:r>
          </w:p>
        </w:tc>
        <w:tc>
          <w:tcPr>
            <w:tcW w:w="1170"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81.97</w:t>
            </w:r>
          </w:p>
        </w:tc>
        <w:tc>
          <w:tcPr>
            <w:tcW w:w="1101"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179112.58</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57" w:type="dxa"/>
          </w:tcPr>
          <w:p w:rsidR="00B8592C" w:rsidRPr="00B8592C" w:rsidRDefault="00B8592C" w:rsidP="00B8592C">
            <w:pPr>
              <w:spacing w:line="276" w:lineRule="auto"/>
              <w:rPr>
                <w:rFonts w:ascii="Times New Roman" w:hAnsi="Times New Roman" w:cs="Times New Roman"/>
                <w:szCs w:val="24"/>
              </w:rPr>
            </w:pPr>
            <w:r w:rsidRPr="00B8592C">
              <w:rPr>
                <w:rFonts w:ascii="Times New Roman" w:hAnsi="Times New Roman" w:cs="Times New Roman"/>
                <w:szCs w:val="24"/>
              </w:rPr>
              <w:t>FCBs</w:t>
            </w:r>
          </w:p>
        </w:tc>
        <w:tc>
          <w:tcPr>
            <w:tcW w:w="1029" w:type="dxa"/>
          </w:tcPr>
          <w:p w:rsidR="00B8592C" w:rsidRPr="00B8592C" w:rsidRDefault="00B8592C" w:rsidP="00B8592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030A0"/>
                <w:sz w:val="20"/>
                <w:szCs w:val="20"/>
              </w:rPr>
            </w:pPr>
          </w:p>
        </w:tc>
        <w:tc>
          <w:tcPr>
            <w:tcW w:w="1029"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17.00</w:t>
            </w:r>
          </w:p>
        </w:tc>
        <w:tc>
          <w:tcPr>
            <w:tcW w:w="1219" w:type="dxa"/>
          </w:tcPr>
          <w:p w:rsidR="00B8592C" w:rsidRPr="00B8592C" w:rsidRDefault="00B8592C" w:rsidP="00B8592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030A0"/>
                <w:sz w:val="20"/>
                <w:szCs w:val="20"/>
              </w:rPr>
            </w:pPr>
          </w:p>
        </w:tc>
        <w:tc>
          <w:tcPr>
            <w:tcW w:w="922" w:type="dxa"/>
          </w:tcPr>
          <w:p w:rsidR="00B8592C" w:rsidRPr="00B8592C" w:rsidRDefault="00B8592C" w:rsidP="00B8592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030A0"/>
                <w:sz w:val="20"/>
                <w:szCs w:val="20"/>
              </w:rPr>
            </w:pPr>
          </w:p>
        </w:tc>
        <w:tc>
          <w:tcPr>
            <w:tcW w:w="1101"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77398.31</w:t>
            </w:r>
          </w:p>
        </w:tc>
        <w:tc>
          <w:tcPr>
            <w:tcW w:w="1015"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14.58</w:t>
            </w:r>
          </w:p>
        </w:tc>
        <w:tc>
          <w:tcPr>
            <w:tcW w:w="1170"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7.06</w:t>
            </w:r>
          </w:p>
        </w:tc>
        <w:tc>
          <w:tcPr>
            <w:tcW w:w="1101"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592C">
              <w:rPr>
                <w:rFonts w:ascii="Times New Roman" w:hAnsi="Times New Roman" w:cs="Times New Roman"/>
                <w:sz w:val="20"/>
                <w:szCs w:val="20"/>
              </w:rPr>
              <w:t>77419.95</w:t>
            </w:r>
          </w:p>
        </w:tc>
      </w:tr>
      <w:tr w:rsidR="00B8592C" w:rsidRPr="00B8592C" w:rsidTr="00B8592C">
        <w:trPr>
          <w:trHeight w:val="265"/>
        </w:trPr>
        <w:tc>
          <w:tcPr>
            <w:cnfStyle w:val="001000000000" w:firstRow="0" w:lastRow="0" w:firstColumn="1" w:lastColumn="0" w:oddVBand="0" w:evenVBand="0" w:oddHBand="0" w:evenHBand="0" w:firstRowFirstColumn="0" w:firstRowLastColumn="0" w:lastRowFirstColumn="0" w:lastRowLastColumn="0"/>
            <w:tcW w:w="957" w:type="dxa"/>
          </w:tcPr>
          <w:p w:rsidR="00B8592C" w:rsidRPr="00B8592C" w:rsidRDefault="00B8592C" w:rsidP="00B8592C">
            <w:pPr>
              <w:spacing w:line="276" w:lineRule="auto"/>
              <w:rPr>
                <w:rFonts w:ascii="Times New Roman" w:hAnsi="Times New Roman" w:cs="Times New Roman"/>
                <w:szCs w:val="24"/>
              </w:rPr>
            </w:pPr>
            <w:r w:rsidRPr="00B8592C">
              <w:rPr>
                <w:rFonts w:ascii="Times New Roman" w:hAnsi="Times New Roman" w:cs="Times New Roman"/>
                <w:szCs w:val="24"/>
              </w:rPr>
              <w:t>Total</w:t>
            </w:r>
          </w:p>
        </w:tc>
        <w:tc>
          <w:tcPr>
            <w:tcW w:w="1029" w:type="dxa"/>
          </w:tcPr>
          <w:p w:rsidR="00B8592C" w:rsidRPr="00B8592C" w:rsidRDefault="00B8592C" w:rsidP="00B8592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030A0"/>
                <w:sz w:val="20"/>
                <w:szCs w:val="20"/>
              </w:rPr>
            </w:pPr>
          </w:p>
        </w:tc>
        <w:tc>
          <w:tcPr>
            <w:tcW w:w="1029"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8592C">
              <w:rPr>
                <w:rFonts w:ascii="Times New Roman" w:hAnsi="Times New Roman" w:cs="Times New Roman"/>
                <w:b/>
                <w:sz w:val="20"/>
                <w:szCs w:val="20"/>
              </w:rPr>
              <w:t>2145.35</w:t>
            </w:r>
          </w:p>
        </w:tc>
        <w:tc>
          <w:tcPr>
            <w:tcW w:w="1219" w:type="dxa"/>
          </w:tcPr>
          <w:p w:rsidR="00B8592C" w:rsidRPr="00B8592C" w:rsidRDefault="00B8592C" w:rsidP="00B8592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030A0"/>
                <w:sz w:val="20"/>
                <w:szCs w:val="20"/>
              </w:rPr>
            </w:pPr>
          </w:p>
        </w:tc>
        <w:tc>
          <w:tcPr>
            <w:tcW w:w="922" w:type="dxa"/>
          </w:tcPr>
          <w:p w:rsidR="00B8592C" w:rsidRPr="00B8592C" w:rsidRDefault="00B8592C" w:rsidP="00B8592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030A0"/>
                <w:sz w:val="20"/>
                <w:szCs w:val="20"/>
              </w:rPr>
            </w:pPr>
          </w:p>
        </w:tc>
        <w:tc>
          <w:tcPr>
            <w:tcW w:w="1101"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8592C">
              <w:rPr>
                <w:rFonts w:ascii="Times New Roman" w:hAnsi="Times New Roman" w:cs="Times New Roman"/>
                <w:b/>
                <w:sz w:val="20"/>
                <w:szCs w:val="20"/>
              </w:rPr>
              <w:t>270921.53</w:t>
            </w:r>
          </w:p>
        </w:tc>
        <w:tc>
          <w:tcPr>
            <w:tcW w:w="1015"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8592C">
              <w:rPr>
                <w:rFonts w:ascii="Times New Roman" w:hAnsi="Times New Roman" w:cs="Times New Roman"/>
                <w:b/>
                <w:sz w:val="20"/>
                <w:szCs w:val="20"/>
              </w:rPr>
              <w:t>258.89</w:t>
            </w:r>
          </w:p>
        </w:tc>
        <w:tc>
          <w:tcPr>
            <w:tcW w:w="1170"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8592C">
              <w:rPr>
                <w:rFonts w:ascii="Times New Roman" w:hAnsi="Times New Roman" w:cs="Times New Roman"/>
                <w:b/>
                <w:sz w:val="20"/>
                <w:szCs w:val="20"/>
              </w:rPr>
              <w:t>90.42</w:t>
            </w:r>
          </w:p>
        </w:tc>
        <w:tc>
          <w:tcPr>
            <w:tcW w:w="1101"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8592C">
              <w:rPr>
                <w:rFonts w:ascii="Times New Roman" w:hAnsi="Times New Roman" w:cs="Times New Roman"/>
                <w:b/>
                <w:sz w:val="20"/>
                <w:szCs w:val="20"/>
              </w:rPr>
              <w:t>271270.84</w:t>
            </w:r>
          </w:p>
        </w:tc>
      </w:tr>
    </w:tbl>
    <w:p w:rsidR="00B8592C" w:rsidRPr="00B8592C" w:rsidRDefault="00B8592C" w:rsidP="00B8592C">
      <w:pPr>
        <w:tabs>
          <w:tab w:val="left" w:pos="2955"/>
        </w:tabs>
        <w:jc w:val="center"/>
        <w:rPr>
          <w:rFonts w:ascii="Times New Roman" w:hAnsi="Times New Roman" w:cs="Times New Roman"/>
          <w:b/>
          <w:sz w:val="20"/>
          <w:szCs w:val="24"/>
        </w:rPr>
      </w:pPr>
      <w:r w:rsidRPr="00B8592C">
        <w:rPr>
          <w:rFonts w:ascii="Times New Roman" w:hAnsi="Times New Roman" w:cs="Times New Roman"/>
          <w:b/>
          <w:sz w:val="20"/>
          <w:szCs w:val="24"/>
        </w:rPr>
        <w:t>Source: Bangladesh Bank Annual Report on Green Banking – 2012</w:t>
      </w:r>
    </w:p>
    <w:p w:rsidR="00B8592C" w:rsidRPr="00B8592C" w:rsidRDefault="00B8592C" w:rsidP="00B8592C">
      <w:pPr>
        <w:tabs>
          <w:tab w:val="left" w:pos="2955"/>
        </w:tabs>
        <w:jc w:val="both"/>
        <w:rPr>
          <w:rFonts w:ascii="Times New Roman" w:hAnsi="Times New Roman" w:cs="Times New Roman"/>
          <w:sz w:val="24"/>
          <w:szCs w:val="24"/>
        </w:rPr>
      </w:pPr>
      <w:r w:rsidRPr="00B8592C">
        <w:rPr>
          <w:rFonts w:ascii="Times New Roman" w:hAnsi="Times New Roman" w:cs="Times New Roman"/>
          <w:sz w:val="24"/>
          <w:szCs w:val="24"/>
        </w:rPr>
        <w:t xml:space="preserve">39 Banks have utilized taka 271270.84 million in 2012 for green finance have utilized taka 270921.53 million, for Climate Risk Fund taka have utilized 258.89, and for Marketing Training and Capacity Building have utilized taka 90.42 million in 2012.  </w:t>
      </w:r>
    </w:p>
    <w:p w:rsidR="00B8592C" w:rsidRPr="00B8592C" w:rsidRDefault="00B8592C" w:rsidP="00B8592C">
      <w:pPr>
        <w:tabs>
          <w:tab w:val="left" w:pos="2955"/>
        </w:tabs>
        <w:jc w:val="both"/>
        <w:rPr>
          <w:rFonts w:ascii="Times New Roman" w:hAnsi="Times New Roman" w:cs="Times New Roman"/>
          <w:b/>
          <w:sz w:val="28"/>
          <w:szCs w:val="28"/>
        </w:rPr>
      </w:pPr>
      <w:r w:rsidRPr="00B8592C">
        <w:rPr>
          <w:rFonts w:ascii="Times New Roman" w:hAnsi="Times New Roman" w:cs="Times New Roman"/>
          <w:b/>
          <w:sz w:val="28"/>
          <w:szCs w:val="28"/>
        </w:rPr>
        <w:t>4.3. Annual Budget Allocation and Budget Utilization for 2013</w:t>
      </w:r>
    </w:p>
    <w:p w:rsidR="00B8592C" w:rsidRPr="00B8592C" w:rsidRDefault="00B8592C" w:rsidP="00B8592C">
      <w:pPr>
        <w:spacing w:after="0"/>
        <w:jc w:val="center"/>
        <w:rPr>
          <w:rFonts w:ascii="Times New Roman" w:hAnsi="Times New Roman" w:cs="Times New Roman"/>
          <w:b/>
          <w:sz w:val="20"/>
          <w:szCs w:val="24"/>
        </w:rPr>
      </w:pPr>
      <w:r w:rsidRPr="00B8592C">
        <w:rPr>
          <w:rFonts w:ascii="Times New Roman" w:hAnsi="Times New Roman" w:cs="Times New Roman"/>
          <w:b/>
          <w:sz w:val="18"/>
          <w:szCs w:val="24"/>
        </w:rPr>
        <w:t xml:space="preserve">4.3. Table: Annual </w:t>
      </w:r>
      <w:r w:rsidRPr="00B8592C">
        <w:rPr>
          <w:rFonts w:ascii="Times New Roman" w:hAnsi="Times New Roman" w:cs="Times New Roman"/>
          <w:b/>
          <w:sz w:val="20"/>
          <w:szCs w:val="24"/>
        </w:rPr>
        <w:t>Budget Allocation and Budget Utilization for 2013</w:t>
      </w:r>
    </w:p>
    <w:tbl>
      <w:tblPr>
        <w:tblStyle w:val="MediumGrid3-Accent4"/>
        <w:tblW w:w="9650" w:type="dxa"/>
        <w:tblLook w:val="04A0" w:firstRow="1" w:lastRow="0" w:firstColumn="1" w:lastColumn="0" w:noHBand="0" w:noVBand="1"/>
      </w:tblPr>
      <w:tblGrid>
        <w:gridCol w:w="800"/>
        <w:gridCol w:w="1120"/>
        <w:gridCol w:w="974"/>
        <w:gridCol w:w="1208"/>
        <w:gridCol w:w="1114"/>
        <w:gridCol w:w="1127"/>
        <w:gridCol w:w="972"/>
        <w:gridCol w:w="1208"/>
        <w:gridCol w:w="1127"/>
      </w:tblGrid>
      <w:tr w:rsidR="00B8592C" w:rsidRPr="00B8592C" w:rsidTr="00B8592C">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800" w:type="dxa"/>
            <w:vMerge w:val="restart"/>
          </w:tcPr>
          <w:p w:rsidR="00B8592C" w:rsidRPr="00B8592C" w:rsidRDefault="00B8592C" w:rsidP="00B8592C">
            <w:pPr>
              <w:spacing w:line="276" w:lineRule="auto"/>
              <w:jc w:val="center"/>
              <w:rPr>
                <w:rFonts w:ascii="Times New Roman" w:hAnsi="Times New Roman" w:cs="Times New Roman"/>
              </w:rPr>
            </w:pPr>
            <w:r w:rsidRPr="00B8592C">
              <w:rPr>
                <w:rFonts w:ascii="Times New Roman" w:hAnsi="Times New Roman" w:cs="Times New Roman"/>
              </w:rPr>
              <w:t>Types of Bank</w:t>
            </w:r>
          </w:p>
        </w:tc>
        <w:tc>
          <w:tcPr>
            <w:tcW w:w="4416" w:type="dxa"/>
            <w:gridSpan w:val="4"/>
          </w:tcPr>
          <w:p w:rsidR="00B8592C" w:rsidRPr="00B8592C" w:rsidRDefault="00B8592C" w:rsidP="00B859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Annual Allocation of Fund for 2013</w:t>
            </w:r>
          </w:p>
          <w:p w:rsidR="00B8592C" w:rsidRPr="00B8592C" w:rsidRDefault="00B8592C" w:rsidP="00B859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(In million Tk.)</w:t>
            </w:r>
          </w:p>
        </w:tc>
        <w:tc>
          <w:tcPr>
            <w:tcW w:w="4434" w:type="dxa"/>
            <w:gridSpan w:val="4"/>
          </w:tcPr>
          <w:p w:rsidR="00B8592C" w:rsidRPr="00B8592C" w:rsidRDefault="00B8592C" w:rsidP="00B859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Utilization of Funds for 2013</w:t>
            </w:r>
          </w:p>
          <w:p w:rsidR="00B8592C" w:rsidRPr="00B8592C" w:rsidRDefault="00B8592C" w:rsidP="00B859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(In millions Tk.)</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0" w:type="dxa"/>
            <w:vMerge/>
          </w:tcPr>
          <w:p w:rsidR="00B8592C" w:rsidRPr="00B8592C" w:rsidRDefault="00B8592C" w:rsidP="00B8592C">
            <w:pPr>
              <w:spacing w:line="276" w:lineRule="auto"/>
              <w:rPr>
                <w:rFonts w:ascii="Times New Roman" w:hAnsi="Times New Roman" w:cs="Times New Roman"/>
                <w:color w:val="7030A0"/>
              </w:rPr>
            </w:pPr>
          </w:p>
        </w:tc>
        <w:tc>
          <w:tcPr>
            <w:tcW w:w="1120"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Green Finance</w:t>
            </w:r>
          </w:p>
        </w:tc>
        <w:tc>
          <w:tcPr>
            <w:tcW w:w="974"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Climate Risk Fund</w:t>
            </w:r>
          </w:p>
        </w:tc>
        <w:tc>
          <w:tcPr>
            <w:tcW w:w="1208"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Marketing Training and Capacity Building</w:t>
            </w:r>
          </w:p>
        </w:tc>
        <w:tc>
          <w:tcPr>
            <w:tcW w:w="1114"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Total</w:t>
            </w:r>
          </w:p>
        </w:tc>
        <w:tc>
          <w:tcPr>
            <w:tcW w:w="1127"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Green Finance</w:t>
            </w:r>
          </w:p>
        </w:tc>
        <w:tc>
          <w:tcPr>
            <w:tcW w:w="972"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Climate Risk Fund</w:t>
            </w:r>
          </w:p>
        </w:tc>
        <w:tc>
          <w:tcPr>
            <w:tcW w:w="1208"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Marketing Training and Capacity Building</w:t>
            </w:r>
          </w:p>
        </w:tc>
        <w:tc>
          <w:tcPr>
            <w:tcW w:w="1127"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Total</w:t>
            </w:r>
          </w:p>
        </w:tc>
      </w:tr>
      <w:tr w:rsidR="00B8592C" w:rsidRPr="00B8592C" w:rsidTr="00B8592C">
        <w:trPr>
          <w:trHeight w:val="247"/>
        </w:trPr>
        <w:tc>
          <w:tcPr>
            <w:cnfStyle w:val="001000000000" w:firstRow="0" w:lastRow="0" w:firstColumn="1" w:lastColumn="0" w:oddVBand="0" w:evenVBand="0" w:oddHBand="0" w:evenHBand="0" w:firstRowFirstColumn="0" w:firstRowLastColumn="0" w:lastRowFirstColumn="0" w:lastRowLastColumn="0"/>
            <w:tcW w:w="800" w:type="dxa"/>
          </w:tcPr>
          <w:p w:rsidR="00B8592C" w:rsidRPr="00B8592C" w:rsidRDefault="00B8592C" w:rsidP="00B8592C">
            <w:pPr>
              <w:spacing w:line="276" w:lineRule="auto"/>
              <w:rPr>
                <w:rFonts w:ascii="Times New Roman" w:hAnsi="Times New Roman" w:cs="Times New Roman"/>
                <w:szCs w:val="24"/>
              </w:rPr>
            </w:pPr>
            <w:r w:rsidRPr="00B8592C">
              <w:rPr>
                <w:rFonts w:ascii="Times New Roman" w:hAnsi="Times New Roman" w:cs="Times New Roman"/>
                <w:szCs w:val="24"/>
              </w:rPr>
              <w:t>SCBs</w:t>
            </w:r>
          </w:p>
        </w:tc>
        <w:tc>
          <w:tcPr>
            <w:tcW w:w="1120"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3915.00</w:t>
            </w:r>
          </w:p>
        </w:tc>
        <w:tc>
          <w:tcPr>
            <w:tcW w:w="974"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94.70</w:t>
            </w:r>
          </w:p>
        </w:tc>
        <w:tc>
          <w:tcPr>
            <w:tcW w:w="1208"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86.20</w:t>
            </w:r>
          </w:p>
        </w:tc>
        <w:tc>
          <w:tcPr>
            <w:tcW w:w="1114"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4095.90</w:t>
            </w:r>
          </w:p>
        </w:tc>
        <w:tc>
          <w:tcPr>
            <w:tcW w:w="1127"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3248.01</w:t>
            </w:r>
          </w:p>
        </w:tc>
        <w:tc>
          <w:tcPr>
            <w:tcW w:w="972"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80.75</w:t>
            </w:r>
          </w:p>
        </w:tc>
        <w:tc>
          <w:tcPr>
            <w:tcW w:w="1208"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15.05</w:t>
            </w:r>
          </w:p>
        </w:tc>
        <w:tc>
          <w:tcPr>
            <w:tcW w:w="1127"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3343.81</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00" w:type="dxa"/>
          </w:tcPr>
          <w:p w:rsidR="00B8592C" w:rsidRPr="00B8592C" w:rsidRDefault="00B8592C" w:rsidP="00B8592C">
            <w:pPr>
              <w:spacing w:line="276" w:lineRule="auto"/>
              <w:rPr>
                <w:rFonts w:ascii="Times New Roman" w:hAnsi="Times New Roman" w:cs="Times New Roman"/>
                <w:szCs w:val="24"/>
              </w:rPr>
            </w:pPr>
            <w:r w:rsidRPr="00B8592C">
              <w:rPr>
                <w:rFonts w:ascii="Times New Roman" w:hAnsi="Times New Roman" w:cs="Times New Roman"/>
                <w:szCs w:val="24"/>
              </w:rPr>
              <w:t>SDBs</w:t>
            </w:r>
          </w:p>
        </w:tc>
        <w:tc>
          <w:tcPr>
            <w:tcW w:w="1120"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5000.00</w:t>
            </w:r>
          </w:p>
        </w:tc>
        <w:tc>
          <w:tcPr>
            <w:tcW w:w="974"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433.20</w:t>
            </w:r>
          </w:p>
        </w:tc>
        <w:tc>
          <w:tcPr>
            <w:tcW w:w="1208"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40.10</w:t>
            </w:r>
          </w:p>
        </w:tc>
        <w:tc>
          <w:tcPr>
            <w:tcW w:w="1114"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5473.30</w:t>
            </w:r>
          </w:p>
        </w:tc>
        <w:tc>
          <w:tcPr>
            <w:tcW w:w="1127"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3384.23</w:t>
            </w:r>
          </w:p>
        </w:tc>
        <w:tc>
          <w:tcPr>
            <w:tcW w:w="972"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1.00</w:t>
            </w:r>
          </w:p>
        </w:tc>
        <w:tc>
          <w:tcPr>
            <w:tcW w:w="1208"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0.00</w:t>
            </w:r>
          </w:p>
        </w:tc>
        <w:tc>
          <w:tcPr>
            <w:tcW w:w="1127"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3385.23</w:t>
            </w:r>
          </w:p>
        </w:tc>
      </w:tr>
      <w:tr w:rsidR="00B8592C" w:rsidRPr="00B8592C" w:rsidTr="00B8592C">
        <w:trPr>
          <w:trHeight w:val="247"/>
        </w:trPr>
        <w:tc>
          <w:tcPr>
            <w:cnfStyle w:val="001000000000" w:firstRow="0" w:lastRow="0" w:firstColumn="1" w:lastColumn="0" w:oddVBand="0" w:evenVBand="0" w:oddHBand="0" w:evenHBand="0" w:firstRowFirstColumn="0" w:firstRowLastColumn="0" w:lastRowFirstColumn="0" w:lastRowLastColumn="0"/>
            <w:tcW w:w="800" w:type="dxa"/>
          </w:tcPr>
          <w:p w:rsidR="00B8592C" w:rsidRPr="00B8592C" w:rsidRDefault="00B8592C" w:rsidP="00B8592C">
            <w:pPr>
              <w:spacing w:line="276" w:lineRule="auto"/>
              <w:rPr>
                <w:rFonts w:ascii="Times New Roman" w:hAnsi="Times New Roman" w:cs="Times New Roman"/>
                <w:szCs w:val="24"/>
              </w:rPr>
            </w:pPr>
            <w:r w:rsidRPr="00B8592C">
              <w:rPr>
                <w:rFonts w:ascii="Times New Roman" w:hAnsi="Times New Roman" w:cs="Times New Roman"/>
                <w:szCs w:val="24"/>
              </w:rPr>
              <w:t>PCBs</w:t>
            </w:r>
          </w:p>
        </w:tc>
        <w:tc>
          <w:tcPr>
            <w:tcW w:w="1120"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275024.34</w:t>
            </w:r>
          </w:p>
        </w:tc>
        <w:tc>
          <w:tcPr>
            <w:tcW w:w="974"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540.22</w:t>
            </w:r>
          </w:p>
        </w:tc>
        <w:tc>
          <w:tcPr>
            <w:tcW w:w="1208"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273.69</w:t>
            </w:r>
          </w:p>
        </w:tc>
        <w:tc>
          <w:tcPr>
            <w:tcW w:w="1114"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275838.25</w:t>
            </w:r>
          </w:p>
        </w:tc>
        <w:tc>
          <w:tcPr>
            <w:tcW w:w="1127"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262809.2</w:t>
            </w:r>
          </w:p>
        </w:tc>
        <w:tc>
          <w:tcPr>
            <w:tcW w:w="972"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211.08</w:t>
            </w:r>
          </w:p>
        </w:tc>
        <w:tc>
          <w:tcPr>
            <w:tcW w:w="1208"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100.67</w:t>
            </w:r>
          </w:p>
        </w:tc>
        <w:tc>
          <w:tcPr>
            <w:tcW w:w="1127"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263120.95</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00" w:type="dxa"/>
          </w:tcPr>
          <w:p w:rsidR="00B8592C" w:rsidRPr="00B8592C" w:rsidRDefault="00B8592C" w:rsidP="00B8592C">
            <w:pPr>
              <w:spacing w:line="276" w:lineRule="auto"/>
              <w:rPr>
                <w:rFonts w:ascii="Times New Roman" w:hAnsi="Times New Roman" w:cs="Times New Roman"/>
                <w:szCs w:val="24"/>
              </w:rPr>
            </w:pPr>
            <w:r w:rsidRPr="00B8592C">
              <w:rPr>
                <w:rFonts w:ascii="Times New Roman" w:hAnsi="Times New Roman" w:cs="Times New Roman"/>
                <w:szCs w:val="24"/>
              </w:rPr>
              <w:t>FCBs</w:t>
            </w:r>
          </w:p>
        </w:tc>
        <w:tc>
          <w:tcPr>
            <w:tcW w:w="1120"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79990.62</w:t>
            </w:r>
          </w:p>
        </w:tc>
        <w:tc>
          <w:tcPr>
            <w:tcW w:w="974"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128.04</w:t>
            </w:r>
          </w:p>
        </w:tc>
        <w:tc>
          <w:tcPr>
            <w:tcW w:w="1208"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126.34</w:t>
            </w:r>
          </w:p>
        </w:tc>
        <w:tc>
          <w:tcPr>
            <w:tcW w:w="1114"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80245.00</w:t>
            </w:r>
          </w:p>
        </w:tc>
        <w:tc>
          <w:tcPr>
            <w:tcW w:w="1127"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78684.05</w:t>
            </w:r>
          </w:p>
        </w:tc>
        <w:tc>
          <w:tcPr>
            <w:tcW w:w="972"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22.56</w:t>
            </w:r>
          </w:p>
        </w:tc>
        <w:tc>
          <w:tcPr>
            <w:tcW w:w="1208"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48.31</w:t>
            </w:r>
          </w:p>
        </w:tc>
        <w:tc>
          <w:tcPr>
            <w:tcW w:w="1127"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78754.92</w:t>
            </w:r>
          </w:p>
        </w:tc>
      </w:tr>
      <w:tr w:rsidR="00B8592C" w:rsidRPr="00B8592C" w:rsidTr="00B8592C">
        <w:trPr>
          <w:trHeight w:val="247"/>
        </w:trPr>
        <w:tc>
          <w:tcPr>
            <w:cnfStyle w:val="001000000000" w:firstRow="0" w:lastRow="0" w:firstColumn="1" w:lastColumn="0" w:oddVBand="0" w:evenVBand="0" w:oddHBand="0" w:evenHBand="0" w:firstRowFirstColumn="0" w:firstRowLastColumn="0" w:lastRowFirstColumn="0" w:lastRowLastColumn="0"/>
            <w:tcW w:w="800" w:type="dxa"/>
          </w:tcPr>
          <w:p w:rsidR="00B8592C" w:rsidRPr="00B8592C" w:rsidRDefault="00B8592C" w:rsidP="00B8592C">
            <w:pPr>
              <w:spacing w:line="276" w:lineRule="auto"/>
              <w:rPr>
                <w:rFonts w:ascii="Times New Roman" w:hAnsi="Times New Roman" w:cs="Times New Roman"/>
                <w:szCs w:val="24"/>
              </w:rPr>
            </w:pPr>
            <w:r w:rsidRPr="00B8592C">
              <w:rPr>
                <w:rFonts w:ascii="Times New Roman" w:hAnsi="Times New Roman" w:cs="Times New Roman"/>
                <w:szCs w:val="24"/>
              </w:rPr>
              <w:t>Total</w:t>
            </w:r>
          </w:p>
        </w:tc>
        <w:tc>
          <w:tcPr>
            <w:tcW w:w="1120"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363929.96</w:t>
            </w:r>
          </w:p>
        </w:tc>
        <w:tc>
          <w:tcPr>
            <w:tcW w:w="974"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1196.16</w:t>
            </w:r>
          </w:p>
        </w:tc>
        <w:tc>
          <w:tcPr>
            <w:tcW w:w="1208"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526.33</w:t>
            </w:r>
          </w:p>
        </w:tc>
        <w:tc>
          <w:tcPr>
            <w:tcW w:w="1114"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365652.45</w:t>
            </w:r>
          </w:p>
        </w:tc>
        <w:tc>
          <w:tcPr>
            <w:tcW w:w="1127"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348125.49</w:t>
            </w:r>
          </w:p>
        </w:tc>
        <w:tc>
          <w:tcPr>
            <w:tcW w:w="972"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315.39</w:t>
            </w:r>
          </w:p>
        </w:tc>
        <w:tc>
          <w:tcPr>
            <w:tcW w:w="1208"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164.03</w:t>
            </w:r>
          </w:p>
        </w:tc>
        <w:tc>
          <w:tcPr>
            <w:tcW w:w="1127"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348604.91</w:t>
            </w:r>
          </w:p>
        </w:tc>
      </w:tr>
    </w:tbl>
    <w:p w:rsidR="00B8592C" w:rsidRPr="00B8592C" w:rsidRDefault="00B8592C" w:rsidP="00B8592C">
      <w:pPr>
        <w:tabs>
          <w:tab w:val="left" w:pos="2955"/>
        </w:tabs>
        <w:jc w:val="center"/>
        <w:rPr>
          <w:rFonts w:ascii="Times New Roman" w:hAnsi="Times New Roman" w:cs="Times New Roman"/>
          <w:b/>
          <w:sz w:val="20"/>
          <w:szCs w:val="24"/>
        </w:rPr>
      </w:pPr>
      <w:r w:rsidRPr="00B8592C">
        <w:rPr>
          <w:rFonts w:ascii="Times New Roman" w:hAnsi="Times New Roman" w:cs="Times New Roman"/>
          <w:b/>
          <w:sz w:val="20"/>
          <w:szCs w:val="24"/>
        </w:rPr>
        <w:t>Source: Bangladesh Bank Annual Report on Green Banking – 2013</w:t>
      </w:r>
    </w:p>
    <w:p w:rsidR="00B8592C" w:rsidRPr="00B8592C" w:rsidRDefault="00B8592C" w:rsidP="00B8592C">
      <w:pPr>
        <w:tabs>
          <w:tab w:val="left" w:pos="2955"/>
        </w:tabs>
        <w:jc w:val="both"/>
        <w:rPr>
          <w:rFonts w:ascii="Times New Roman" w:hAnsi="Times New Roman" w:cs="Times New Roman"/>
          <w:sz w:val="24"/>
          <w:szCs w:val="24"/>
        </w:rPr>
      </w:pPr>
      <w:r w:rsidRPr="00B8592C">
        <w:rPr>
          <w:rFonts w:ascii="Times New Roman" w:hAnsi="Times New Roman" w:cs="Times New Roman"/>
          <w:sz w:val="24"/>
          <w:szCs w:val="24"/>
        </w:rPr>
        <w:lastRenderedPageBreak/>
        <w:t>Out of Tk. 365652.45 million for green banking activities, bank have allocated Tk. 363929.96 for green finance, Tk. 1196.16 for climate risk fund and Tk. 526.33 for marketing training and capacity building. This allocation has been made on annual basis.</w:t>
      </w:r>
    </w:p>
    <w:p w:rsidR="00B8592C" w:rsidRPr="00B8592C" w:rsidRDefault="00B8592C" w:rsidP="00B8592C">
      <w:pPr>
        <w:tabs>
          <w:tab w:val="left" w:pos="2955"/>
        </w:tabs>
        <w:jc w:val="both"/>
        <w:rPr>
          <w:rFonts w:ascii="Times New Roman" w:hAnsi="Times New Roman" w:cs="Times New Roman"/>
          <w:sz w:val="24"/>
          <w:szCs w:val="24"/>
        </w:rPr>
      </w:pPr>
      <w:r w:rsidRPr="00B8592C">
        <w:rPr>
          <w:rFonts w:ascii="Times New Roman" w:hAnsi="Times New Roman" w:cs="Times New Roman"/>
          <w:sz w:val="24"/>
          <w:szCs w:val="24"/>
        </w:rPr>
        <w:t xml:space="preserve">40 banks have utilized Tk. 348604.91 million in the reporting annual for green banking activities. Out of which, Tk. 348125.49 for green finance, Tk. 315.39 for climate risk fund and Tk. 164.03 have been utilized for marketing training and capacity building.    </w:t>
      </w:r>
    </w:p>
    <w:p w:rsidR="00B8592C" w:rsidRPr="00B8592C" w:rsidRDefault="00B8592C" w:rsidP="00B8592C">
      <w:pPr>
        <w:tabs>
          <w:tab w:val="left" w:pos="2955"/>
        </w:tabs>
        <w:jc w:val="both"/>
        <w:rPr>
          <w:rFonts w:ascii="Times New Roman" w:hAnsi="Times New Roman" w:cs="Times New Roman"/>
          <w:sz w:val="28"/>
          <w:szCs w:val="28"/>
        </w:rPr>
      </w:pPr>
      <w:r w:rsidRPr="00B8592C">
        <w:rPr>
          <w:rFonts w:ascii="Times New Roman" w:hAnsi="Times New Roman" w:cs="Times New Roman"/>
          <w:b/>
          <w:sz w:val="28"/>
          <w:szCs w:val="28"/>
        </w:rPr>
        <w:t>4.4. Annual Budget Allocation and Budget Utilization for 2014</w:t>
      </w:r>
    </w:p>
    <w:p w:rsidR="00B8592C" w:rsidRPr="00B8592C" w:rsidRDefault="00B8592C" w:rsidP="00B8592C">
      <w:pPr>
        <w:spacing w:after="0"/>
        <w:jc w:val="center"/>
        <w:rPr>
          <w:rFonts w:ascii="Times New Roman" w:hAnsi="Times New Roman" w:cs="Times New Roman"/>
          <w:b/>
          <w:sz w:val="20"/>
          <w:szCs w:val="24"/>
        </w:rPr>
      </w:pPr>
      <w:r w:rsidRPr="00B8592C">
        <w:rPr>
          <w:rFonts w:ascii="Times New Roman" w:hAnsi="Times New Roman" w:cs="Times New Roman"/>
          <w:b/>
          <w:sz w:val="18"/>
          <w:szCs w:val="24"/>
        </w:rPr>
        <w:t xml:space="preserve">4.4. Table: Annual </w:t>
      </w:r>
      <w:r w:rsidRPr="00B8592C">
        <w:rPr>
          <w:rFonts w:ascii="Times New Roman" w:hAnsi="Times New Roman" w:cs="Times New Roman"/>
          <w:b/>
          <w:sz w:val="20"/>
          <w:szCs w:val="24"/>
        </w:rPr>
        <w:t>Budget Allocation and Budget Utilization for 2014</w:t>
      </w:r>
    </w:p>
    <w:tbl>
      <w:tblPr>
        <w:tblStyle w:val="MediumGrid3-Accent5"/>
        <w:tblW w:w="9573" w:type="dxa"/>
        <w:tblLook w:val="04A0" w:firstRow="1" w:lastRow="0" w:firstColumn="1" w:lastColumn="0" w:noHBand="0" w:noVBand="1"/>
      </w:tblPr>
      <w:tblGrid>
        <w:gridCol w:w="779"/>
        <w:gridCol w:w="1197"/>
        <w:gridCol w:w="938"/>
        <w:gridCol w:w="1164"/>
        <w:gridCol w:w="1199"/>
        <w:gridCol w:w="1096"/>
        <w:gridCol w:w="939"/>
        <w:gridCol w:w="1165"/>
        <w:gridCol w:w="1096"/>
      </w:tblGrid>
      <w:tr w:rsidR="00B8592C" w:rsidRPr="00B8592C" w:rsidTr="00B8592C">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776" w:type="dxa"/>
            <w:vMerge w:val="restart"/>
          </w:tcPr>
          <w:p w:rsidR="00B8592C" w:rsidRPr="00B8592C" w:rsidRDefault="00B8592C" w:rsidP="00B8592C">
            <w:pPr>
              <w:spacing w:line="276" w:lineRule="auto"/>
              <w:jc w:val="center"/>
              <w:rPr>
                <w:rFonts w:ascii="Times New Roman" w:hAnsi="Times New Roman" w:cs="Times New Roman"/>
                <w:sz w:val="24"/>
                <w:szCs w:val="24"/>
              </w:rPr>
            </w:pPr>
            <w:r w:rsidRPr="00B8592C">
              <w:rPr>
                <w:rFonts w:ascii="Times New Roman" w:hAnsi="Times New Roman" w:cs="Times New Roman"/>
                <w:szCs w:val="24"/>
              </w:rPr>
              <w:t>Types of Bank</w:t>
            </w:r>
          </w:p>
        </w:tc>
        <w:tc>
          <w:tcPr>
            <w:tcW w:w="4501" w:type="dxa"/>
            <w:gridSpan w:val="4"/>
          </w:tcPr>
          <w:p w:rsidR="00B8592C" w:rsidRPr="00B8592C" w:rsidRDefault="00B8592C" w:rsidP="00B859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Annual Allocation of Fund for 2014</w:t>
            </w:r>
          </w:p>
          <w:p w:rsidR="00B8592C" w:rsidRPr="00B8592C" w:rsidRDefault="00B8592C" w:rsidP="00B859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(In million Tk.)</w:t>
            </w:r>
          </w:p>
        </w:tc>
        <w:tc>
          <w:tcPr>
            <w:tcW w:w="4296" w:type="dxa"/>
            <w:gridSpan w:val="4"/>
          </w:tcPr>
          <w:p w:rsidR="00B8592C" w:rsidRPr="00B8592C" w:rsidRDefault="00B8592C" w:rsidP="00B859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Utilization of Funds for 2014</w:t>
            </w:r>
          </w:p>
          <w:p w:rsidR="00B8592C" w:rsidRPr="00B8592C" w:rsidRDefault="00B8592C" w:rsidP="00B859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(In millions Tk.)</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76" w:type="dxa"/>
            <w:vMerge/>
          </w:tcPr>
          <w:p w:rsidR="00B8592C" w:rsidRPr="00B8592C" w:rsidRDefault="00B8592C" w:rsidP="00B8592C">
            <w:pPr>
              <w:spacing w:line="276" w:lineRule="auto"/>
              <w:rPr>
                <w:rFonts w:ascii="Times New Roman" w:hAnsi="Times New Roman" w:cs="Times New Roman"/>
                <w:b w:val="0"/>
                <w:color w:val="7030A0"/>
                <w:sz w:val="28"/>
                <w:szCs w:val="24"/>
              </w:rPr>
            </w:pPr>
          </w:p>
        </w:tc>
        <w:tc>
          <w:tcPr>
            <w:tcW w:w="1198"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Green Finance</w:t>
            </w:r>
          </w:p>
        </w:tc>
        <w:tc>
          <w:tcPr>
            <w:tcW w:w="939"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Climate Risk Fund</w:t>
            </w:r>
          </w:p>
        </w:tc>
        <w:tc>
          <w:tcPr>
            <w:tcW w:w="1165"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Marketing Training and Capacity Building</w:t>
            </w:r>
          </w:p>
        </w:tc>
        <w:tc>
          <w:tcPr>
            <w:tcW w:w="1198"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Total</w:t>
            </w:r>
          </w:p>
        </w:tc>
        <w:tc>
          <w:tcPr>
            <w:tcW w:w="1096"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Green Finance</w:t>
            </w:r>
          </w:p>
        </w:tc>
        <w:tc>
          <w:tcPr>
            <w:tcW w:w="939"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Climate Risk Fund</w:t>
            </w:r>
          </w:p>
        </w:tc>
        <w:tc>
          <w:tcPr>
            <w:tcW w:w="1165"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Marketing Training and Capacity Building</w:t>
            </w:r>
          </w:p>
        </w:tc>
        <w:tc>
          <w:tcPr>
            <w:tcW w:w="1096"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Total</w:t>
            </w:r>
          </w:p>
        </w:tc>
      </w:tr>
      <w:tr w:rsidR="00B8592C" w:rsidRPr="00B8592C" w:rsidTr="00B8592C">
        <w:trPr>
          <w:trHeight w:val="265"/>
        </w:trPr>
        <w:tc>
          <w:tcPr>
            <w:cnfStyle w:val="001000000000" w:firstRow="0" w:lastRow="0" w:firstColumn="1" w:lastColumn="0" w:oddVBand="0" w:evenVBand="0" w:oddHBand="0" w:evenHBand="0" w:firstRowFirstColumn="0" w:firstRowLastColumn="0" w:lastRowFirstColumn="0" w:lastRowLastColumn="0"/>
            <w:tcW w:w="776" w:type="dxa"/>
          </w:tcPr>
          <w:p w:rsidR="00B8592C" w:rsidRPr="00B8592C" w:rsidRDefault="00B8592C" w:rsidP="00B8592C">
            <w:pPr>
              <w:spacing w:line="276" w:lineRule="auto"/>
              <w:rPr>
                <w:rFonts w:ascii="Times New Roman" w:hAnsi="Times New Roman" w:cs="Times New Roman"/>
                <w:b w:val="0"/>
                <w:szCs w:val="24"/>
              </w:rPr>
            </w:pPr>
            <w:r w:rsidRPr="00B8592C">
              <w:rPr>
                <w:rFonts w:ascii="Times New Roman" w:hAnsi="Times New Roman" w:cs="Times New Roman"/>
                <w:szCs w:val="24"/>
              </w:rPr>
              <w:t>SCBs</w:t>
            </w:r>
          </w:p>
        </w:tc>
        <w:tc>
          <w:tcPr>
            <w:tcW w:w="1198"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38016.01</w:t>
            </w:r>
          </w:p>
        </w:tc>
        <w:tc>
          <w:tcPr>
            <w:tcW w:w="939"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1067.4</w:t>
            </w:r>
          </w:p>
        </w:tc>
        <w:tc>
          <w:tcPr>
            <w:tcW w:w="1165"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1207</w:t>
            </w:r>
          </w:p>
        </w:tc>
        <w:tc>
          <w:tcPr>
            <w:tcW w:w="1198"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40290.41</w:t>
            </w:r>
          </w:p>
        </w:tc>
        <w:tc>
          <w:tcPr>
            <w:tcW w:w="1096"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5224.82</w:t>
            </w:r>
          </w:p>
        </w:tc>
        <w:tc>
          <w:tcPr>
            <w:tcW w:w="939"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41.84</w:t>
            </w:r>
          </w:p>
        </w:tc>
        <w:tc>
          <w:tcPr>
            <w:tcW w:w="1165"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11.06</w:t>
            </w:r>
          </w:p>
        </w:tc>
        <w:tc>
          <w:tcPr>
            <w:tcW w:w="1096"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5277.72</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76" w:type="dxa"/>
          </w:tcPr>
          <w:p w:rsidR="00B8592C" w:rsidRPr="00B8592C" w:rsidRDefault="00B8592C" w:rsidP="00B8592C">
            <w:pPr>
              <w:spacing w:line="276" w:lineRule="auto"/>
              <w:rPr>
                <w:rFonts w:ascii="Times New Roman" w:hAnsi="Times New Roman" w:cs="Times New Roman"/>
                <w:b w:val="0"/>
                <w:szCs w:val="24"/>
              </w:rPr>
            </w:pPr>
            <w:r w:rsidRPr="00B8592C">
              <w:rPr>
                <w:rFonts w:ascii="Times New Roman" w:hAnsi="Times New Roman" w:cs="Times New Roman"/>
                <w:szCs w:val="24"/>
              </w:rPr>
              <w:t>SDBs</w:t>
            </w:r>
          </w:p>
        </w:tc>
        <w:tc>
          <w:tcPr>
            <w:tcW w:w="1198"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18904.35</w:t>
            </w:r>
          </w:p>
        </w:tc>
        <w:tc>
          <w:tcPr>
            <w:tcW w:w="939"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1296.84</w:t>
            </w:r>
          </w:p>
        </w:tc>
        <w:tc>
          <w:tcPr>
            <w:tcW w:w="1165"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120.4</w:t>
            </w:r>
          </w:p>
        </w:tc>
        <w:tc>
          <w:tcPr>
            <w:tcW w:w="1198"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20321.59</w:t>
            </w:r>
          </w:p>
        </w:tc>
        <w:tc>
          <w:tcPr>
            <w:tcW w:w="1096"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1095.44</w:t>
            </w:r>
          </w:p>
        </w:tc>
        <w:tc>
          <w:tcPr>
            <w:tcW w:w="939"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0.02</w:t>
            </w:r>
          </w:p>
        </w:tc>
        <w:tc>
          <w:tcPr>
            <w:tcW w:w="1165"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0.20</w:t>
            </w:r>
          </w:p>
        </w:tc>
        <w:tc>
          <w:tcPr>
            <w:tcW w:w="1096"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1095.66</w:t>
            </w:r>
          </w:p>
        </w:tc>
      </w:tr>
      <w:tr w:rsidR="00B8592C" w:rsidRPr="00B8592C" w:rsidTr="00B8592C">
        <w:trPr>
          <w:trHeight w:val="468"/>
        </w:trPr>
        <w:tc>
          <w:tcPr>
            <w:cnfStyle w:val="001000000000" w:firstRow="0" w:lastRow="0" w:firstColumn="1" w:lastColumn="0" w:oddVBand="0" w:evenVBand="0" w:oddHBand="0" w:evenHBand="0" w:firstRowFirstColumn="0" w:firstRowLastColumn="0" w:lastRowFirstColumn="0" w:lastRowLastColumn="0"/>
            <w:tcW w:w="776" w:type="dxa"/>
          </w:tcPr>
          <w:p w:rsidR="00B8592C" w:rsidRPr="00B8592C" w:rsidRDefault="00B8592C" w:rsidP="00B8592C">
            <w:pPr>
              <w:spacing w:line="276" w:lineRule="auto"/>
              <w:rPr>
                <w:rFonts w:ascii="Times New Roman" w:hAnsi="Times New Roman" w:cs="Times New Roman"/>
                <w:b w:val="0"/>
                <w:szCs w:val="24"/>
              </w:rPr>
            </w:pPr>
            <w:r w:rsidRPr="00B8592C">
              <w:rPr>
                <w:rFonts w:ascii="Times New Roman" w:hAnsi="Times New Roman" w:cs="Times New Roman"/>
                <w:szCs w:val="24"/>
              </w:rPr>
              <w:t>PCBs</w:t>
            </w:r>
          </w:p>
        </w:tc>
        <w:tc>
          <w:tcPr>
            <w:tcW w:w="1198"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1164176.7</w:t>
            </w:r>
          </w:p>
        </w:tc>
        <w:tc>
          <w:tcPr>
            <w:tcW w:w="939"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2830.15</w:t>
            </w:r>
          </w:p>
        </w:tc>
        <w:tc>
          <w:tcPr>
            <w:tcW w:w="1165"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2031.67</w:t>
            </w:r>
          </w:p>
        </w:tc>
        <w:tc>
          <w:tcPr>
            <w:tcW w:w="1198"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1169038.52</w:t>
            </w:r>
          </w:p>
        </w:tc>
        <w:tc>
          <w:tcPr>
            <w:tcW w:w="1096"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320450.71</w:t>
            </w:r>
          </w:p>
        </w:tc>
        <w:tc>
          <w:tcPr>
            <w:tcW w:w="939"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371.63</w:t>
            </w:r>
          </w:p>
        </w:tc>
        <w:tc>
          <w:tcPr>
            <w:tcW w:w="1165"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155.77</w:t>
            </w:r>
          </w:p>
        </w:tc>
        <w:tc>
          <w:tcPr>
            <w:tcW w:w="1096"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320978.11</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76" w:type="dxa"/>
          </w:tcPr>
          <w:p w:rsidR="00B8592C" w:rsidRPr="00B8592C" w:rsidRDefault="00B8592C" w:rsidP="00B8592C">
            <w:pPr>
              <w:spacing w:line="276" w:lineRule="auto"/>
              <w:rPr>
                <w:rFonts w:ascii="Times New Roman" w:hAnsi="Times New Roman" w:cs="Times New Roman"/>
                <w:b w:val="0"/>
                <w:szCs w:val="24"/>
              </w:rPr>
            </w:pPr>
            <w:r w:rsidRPr="00B8592C">
              <w:rPr>
                <w:rFonts w:ascii="Times New Roman" w:hAnsi="Times New Roman" w:cs="Times New Roman"/>
                <w:szCs w:val="24"/>
              </w:rPr>
              <w:t>FCBs</w:t>
            </w:r>
          </w:p>
        </w:tc>
        <w:tc>
          <w:tcPr>
            <w:tcW w:w="1198"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255728.23</w:t>
            </w:r>
          </w:p>
        </w:tc>
        <w:tc>
          <w:tcPr>
            <w:tcW w:w="939"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678.63</w:t>
            </w:r>
          </w:p>
        </w:tc>
        <w:tc>
          <w:tcPr>
            <w:tcW w:w="1165"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264</w:t>
            </w:r>
          </w:p>
        </w:tc>
        <w:tc>
          <w:tcPr>
            <w:tcW w:w="1198"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256670.86</w:t>
            </w:r>
          </w:p>
        </w:tc>
        <w:tc>
          <w:tcPr>
            <w:tcW w:w="1096"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87906.24</w:t>
            </w:r>
          </w:p>
        </w:tc>
        <w:tc>
          <w:tcPr>
            <w:tcW w:w="939"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84.83</w:t>
            </w:r>
          </w:p>
        </w:tc>
        <w:tc>
          <w:tcPr>
            <w:tcW w:w="1165"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0.03</w:t>
            </w:r>
          </w:p>
        </w:tc>
        <w:tc>
          <w:tcPr>
            <w:tcW w:w="1096"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87991.1</w:t>
            </w:r>
          </w:p>
        </w:tc>
      </w:tr>
      <w:tr w:rsidR="00B8592C" w:rsidRPr="00B8592C" w:rsidTr="00B8592C">
        <w:trPr>
          <w:trHeight w:val="484"/>
        </w:trPr>
        <w:tc>
          <w:tcPr>
            <w:cnfStyle w:val="001000000000" w:firstRow="0" w:lastRow="0" w:firstColumn="1" w:lastColumn="0" w:oddVBand="0" w:evenVBand="0" w:oddHBand="0" w:evenHBand="0" w:firstRowFirstColumn="0" w:firstRowLastColumn="0" w:lastRowFirstColumn="0" w:lastRowLastColumn="0"/>
            <w:tcW w:w="776" w:type="dxa"/>
          </w:tcPr>
          <w:p w:rsidR="00B8592C" w:rsidRPr="00B8592C" w:rsidRDefault="00B8592C" w:rsidP="00B8592C">
            <w:pPr>
              <w:spacing w:line="276" w:lineRule="auto"/>
              <w:rPr>
                <w:rFonts w:ascii="Times New Roman" w:hAnsi="Times New Roman" w:cs="Times New Roman"/>
                <w:b w:val="0"/>
                <w:sz w:val="24"/>
                <w:szCs w:val="24"/>
              </w:rPr>
            </w:pPr>
            <w:r w:rsidRPr="00B8592C">
              <w:rPr>
                <w:rFonts w:ascii="Times New Roman" w:hAnsi="Times New Roman" w:cs="Times New Roman"/>
                <w:szCs w:val="24"/>
              </w:rPr>
              <w:t>Total</w:t>
            </w:r>
          </w:p>
        </w:tc>
        <w:tc>
          <w:tcPr>
            <w:tcW w:w="1198"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1476825.29</w:t>
            </w:r>
          </w:p>
        </w:tc>
        <w:tc>
          <w:tcPr>
            <w:tcW w:w="939"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5873.02</w:t>
            </w:r>
          </w:p>
        </w:tc>
        <w:tc>
          <w:tcPr>
            <w:tcW w:w="1165"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3623.07</w:t>
            </w:r>
          </w:p>
        </w:tc>
        <w:tc>
          <w:tcPr>
            <w:tcW w:w="1198"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1486321.38</w:t>
            </w:r>
          </w:p>
        </w:tc>
        <w:tc>
          <w:tcPr>
            <w:tcW w:w="1096"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414677.21</w:t>
            </w:r>
          </w:p>
        </w:tc>
        <w:tc>
          <w:tcPr>
            <w:tcW w:w="939"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498.32</w:t>
            </w:r>
          </w:p>
        </w:tc>
        <w:tc>
          <w:tcPr>
            <w:tcW w:w="1165"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167.06</w:t>
            </w:r>
          </w:p>
        </w:tc>
        <w:tc>
          <w:tcPr>
            <w:tcW w:w="1096"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415342.59</w:t>
            </w:r>
          </w:p>
        </w:tc>
      </w:tr>
    </w:tbl>
    <w:p w:rsidR="00B8592C" w:rsidRPr="00B8592C" w:rsidRDefault="00B8592C" w:rsidP="00B8592C">
      <w:pPr>
        <w:tabs>
          <w:tab w:val="left" w:pos="2580"/>
          <w:tab w:val="left" w:pos="2955"/>
        </w:tabs>
        <w:rPr>
          <w:rFonts w:ascii="Times New Roman" w:hAnsi="Times New Roman" w:cs="Times New Roman"/>
          <w:b/>
          <w:sz w:val="20"/>
          <w:szCs w:val="24"/>
        </w:rPr>
      </w:pPr>
      <w:r w:rsidRPr="00B8592C">
        <w:rPr>
          <w:rFonts w:ascii="Times New Roman" w:hAnsi="Times New Roman" w:cs="Times New Roman"/>
          <w:b/>
          <w:sz w:val="20"/>
          <w:szCs w:val="24"/>
        </w:rPr>
        <w:t>Source: Bangladesh Bank Annual Report on Green Banking – 2014</w:t>
      </w:r>
    </w:p>
    <w:p w:rsidR="00B8592C" w:rsidRPr="00B8592C" w:rsidRDefault="00B8592C" w:rsidP="00B8592C">
      <w:pPr>
        <w:tabs>
          <w:tab w:val="left" w:pos="2955"/>
        </w:tabs>
        <w:jc w:val="both"/>
        <w:rPr>
          <w:rFonts w:ascii="Times New Roman" w:hAnsi="Times New Roman" w:cs="Times New Roman"/>
          <w:sz w:val="24"/>
          <w:szCs w:val="24"/>
        </w:rPr>
      </w:pPr>
      <w:r w:rsidRPr="00B8592C">
        <w:rPr>
          <w:rFonts w:ascii="Times New Roman" w:hAnsi="Times New Roman" w:cs="Times New Roman"/>
          <w:sz w:val="24"/>
          <w:szCs w:val="24"/>
        </w:rPr>
        <w:t>Out of Tk. 1486321.38 million for green banking activities, bank have allocated Tk. 1476825.29 for green finance, Tk. 5873.02 for climate risk fund and Tk. 3623.07 for marketing training and capacity building. This allocation has been made on annual basis.</w:t>
      </w:r>
    </w:p>
    <w:p w:rsidR="00B8592C" w:rsidRPr="00B8592C" w:rsidRDefault="00B8592C" w:rsidP="00B8592C">
      <w:pPr>
        <w:tabs>
          <w:tab w:val="left" w:pos="2955"/>
        </w:tabs>
        <w:jc w:val="both"/>
        <w:rPr>
          <w:rFonts w:ascii="Times New Roman" w:hAnsi="Times New Roman" w:cs="Times New Roman"/>
          <w:sz w:val="24"/>
          <w:szCs w:val="24"/>
        </w:rPr>
      </w:pPr>
      <w:r w:rsidRPr="00B8592C">
        <w:rPr>
          <w:rFonts w:ascii="Times New Roman" w:hAnsi="Times New Roman" w:cs="Times New Roman"/>
          <w:sz w:val="24"/>
          <w:szCs w:val="24"/>
        </w:rPr>
        <w:t xml:space="preserve">37 banks have utilized Tk. 415342.59 million in the reporting annual for green banking activities. Out of which, Tk. 414677.21 for green finance, Tk. 498.32 for climate risk fund and Tk. 167.06 have been utilized for marketing training and capacity building.  </w:t>
      </w:r>
    </w:p>
    <w:p w:rsidR="00B8592C" w:rsidRPr="00B8592C" w:rsidRDefault="00B8592C" w:rsidP="00B8592C">
      <w:pPr>
        <w:tabs>
          <w:tab w:val="left" w:pos="2955"/>
        </w:tabs>
        <w:jc w:val="both"/>
        <w:rPr>
          <w:rFonts w:ascii="Times New Roman" w:hAnsi="Times New Roman" w:cs="Times New Roman"/>
          <w:sz w:val="28"/>
          <w:szCs w:val="28"/>
        </w:rPr>
      </w:pPr>
      <w:r w:rsidRPr="00B8592C">
        <w:rPr>
          <w:rFonts w:ascii="Times New Roman" w:hAnsi="Times New Roman" w:cs="Times New Roman"/>
          <w:b/>
          <w:sz w:val="28"/>
          <w:szCs w:val="28"/>
        </w:rPr>
        <w:t>4.5. Annual Budget Allocation and Budget Utilization for 2015</w:t>
      </w:r>
    </w:p>
    <w:p w:rsidR="00B8592C" w:rsidRPr="00B8592C" w:rsidRDefault="00B8592C" w:rsidP="00B8592C">
      <w:pPr>
        <w:spacing w:after="0"/>
        <w:jc w:val="center"/>
        <w:rPr>
          <w:rFonts w:ascii="Times New Roman" w:hAnsi="Times New Roman" w:cs="Times New Roman"/>
          <w:b/>
          <w:sz w:val="20"/>
          <w:szCs w:val="24"/>
        </w:rPr>
      </w:pPr>
      <w:r w:rsidRPr="00B8592C">
        <w:rPr>
          <w:rFonts w:ascii="Times New Roman" w:hAnsi="Times New Roman" w:cs="Times New Roman"/>
          <w:b/>
          <w:sz w:val="18"/>
          <w:szCs w:val="24"/>
        </w:rPr>
        <w:t xml:space="preserve">4.5. Table: Annual </w:t>
      </w:r>
      <w:r w:rsidRPr="00B8592C">
        <w:rPr>
          <w:rFonts w:ascii="Times New Roman" w:hAnsi="Times New Roman" w:cs="Times New Roman"/>
          <w:b/>
          <w:sz w:val="20"/>
          <w:szCs w:val="24"/>
        </w:rPr>
        <w:t>Budget Allocation and Budget Utilization for 2015</w:t>
      </w:r>
    </w:p>
    <w:tbl>
      <w:tblPr>
        <w:tblStyle w:val="MediumGrid3-Accent3"/>
        <w:tblW w:w="9633" w:type="dxa"/>
        <w:tblLook w:val="04A0" w:firstRow="1" w:lastRow="0" w:firstColumn="1" w:lastColumn="0" w:noHBand="0" w:noVBand="1"/>
      </w:tblPr>
      <w:tblGrid>
        <w:gridCol w:w="799"/>
        <w:gridCol w:w="1118"/>
        <w:gridCol w:w="972"/>
        <w:gridCol w:w="1206"/>
        <w:gridCol w:w="1112"/>
        <w:gridCol w:w="1125"/>
        <w:gridCol w:w="970"/>
        <w:gridCol w:w="1206"/>
        <w:gridCol w:w="1125"/>
      </w:tblGrid>
      <w:tr w:rsidR="00B8592C" w:rsidRPr="00B8592C" w:rsidTr="00B8592C">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799" w:type="dxa"/>
            <w:vMerge w:val="restart"/>
          </w:tcPr>
          <w:p w:rsidR="00B8592C" w:rsidRPr="00B8592C" w:rsidRDefault="00B8592C" w:rsidP="00B8592C">
            <w:pPr>
              <w:spacing w:line="276" w:lineRule="auto"/>
              <w:jc w:val="center"/>
              <w:rPr>
                <w:rFonts w:ascii="Times New Roman" w:hAnsi="Times New Roman" w:cs="Times New Roman"/>
                <w:sz w:val="24"/>
                <w:szCs w:val="24"/>
              </w:rPr>
            </w:pPr>
            <w:r w:rsidRPr="00B8592C">
              <w:rPr>
                <w:rFonts w:ascii="Times New Roman" w:hAnsi="Times New Roman" w:cs="Times New Roman"/>
                <w:szCs w:val="24"/>
              </w:rPr>
              <w:t>Types of Bank</w:t>
            </w:r>
          </w:p>
        </w:tc>
        <w:tc>
          <w:tcPr>
            <w:tcW w:w="4408" w:type="dxa"/>
            <w:gridSpan w:val="4"/>
          </w:tcPr>
          <w:p w:rsidR="00B8592C" w:rsidRPr="00B8592C" w:rsidRDefault="00B8592C" w:rsidP="00B859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Annual Allocation of Fund for January – September, 2015</w:t>
            </w:r>
          </w:p>
          <w:p w:rsidR="00B8592C" w:rsidRPr="00B8592C" w:rsidRDefault="00B8592C" w:rsidP="00B859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(In million Tk.)</w:t>
            </w:r>
          </w:p>
        </w:tc>
        <w:tc>
          <w:tcPr>
            <w:tcW w:w="4426" w:type="dxa"/>
            <w:gridSpan w:val="4"/>
          </w:tcPr>
          <w:p w:rsidR="00B8592C" w:rsidRPr="00B8592C" w:rsidRDefault="00B8592C" w:rsidP="00B859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Utilization of Funds for January – September, 2015</w:t>
            </w:r>
          </w:p>
          <w:p w:rsidR="00B8592C" w:rsidRPr="00B8592C" w:rsidRDefault="00B8592C" w:rsidP="00B859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(In millions Tk.)</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99" w:type="dxa"/>
            <w:vMerge/>
          </w:tcPr>
          <w:p w:rsidR="00B8592C" w:rsidRPr="00B8592C" w:rsidRDefault="00B8592C" w:rsidP="00B8592C">
            <w:pPr>
              <w:spacing w:line="276" w:lineRule="auto"/>
              <w:rPr>
                <w:rFonts w:ascii="Times New Roman" w:hAnsi="Times New Roman" w:cs="Times New Roman"/>
                <w:b w:val="0"/>
                <w:color w:val="7030A0"/>
                <w:sz w:val="28"/>
                <w:szCs w:val="24"/>
              </w:rPr>
            </w:pPr>
          </w:p>
        </w:tc>
        <w:tc>
          <w:tcPr>
            <w:tcW w:w="1118"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Green Finance</w:t>
            </w:r>
          </w:p>
        </w:tc>
        <w:tc>
          <w:tcPr>
            <w:tcW w:w="972"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Climate Risk Fund</w:t>
            </w:r>
          </w:p>
        </w:tc>
        <w:tc>
          <w:tcPr>
            <w:tcW w:w="1206"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Marketing Training and Capacity Building</w:t>
            </w:r>
          </w:p>
        </w:tc>
        <w:tc>
          <w:tcPr>
            <w:tcW w:w="1112"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Total</w:t>
            </w:r>
          </w:p>
        </w:tc>
        <w:tc>
          <w:tcPr>
            <w:tcW w:w="1125"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Green Finance</w:t>
            </w:r>
          </w:p>
        </w:tc>
        <w:tc>
          <w:tcPr>
            <w:tcW w:w="970"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Climate Risk Fund</w:t>
            </w:r>
          </w:p>
        </w:tc>
        <w:tc>
          <w:tcPr>
            <w:tcW w:w="1206"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Marketing Training and Capacity Building</w:t>
            </w:r>
          </w:p>
        </w:tc>
        <w:tc>
          <w:tcPr>
            <w:tcW w:w="1125"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592C">
              <w:rPr>
                <w:rFonts w:ascii="Times New Roman" w:hAnsi="Times New Roman" w:cs="Times New Roman"/>
              </w:rPr>
              <w:t>Total</w:t>
            </w:r>
          </w:p>
        </w:tc>
      </w:tr>
      <w:tr w:rsidR="00B8592C" w:rsidRPr="00B8592C" w:rsidTr="00B8592C">
        <w:trPr>
          <w:trHeight w:val="243"/>
        </w:trPr>
        <w:tc>
          <w:tcPr>
            <w:cnfStyle w:val="001000000000" w:firstRow="0" w:lastRow="0" w:firstColumn="1" w:lastColumn="0" w:oddVBand="0" w:evenVBand="0" w:oddHBand="0" w:evenHBand="0" w:firstRowFirstColumn="0" w:firstRowLastColumn="0" w:lastRowFirstColumn="0" w:lastRowLastColumn="0"/>
            <w:tcW w:w="799" w:type="dxa"/>
          </w:tcPr>
          <w:p w:rsidR="00B8592C" w:rsidRPr="00B8592C" w:rsidRDefault="00B8592C" w:rsidP="00B8592C">
            <w:pPr>
              <w:spacing w:line="276" w:lineRule="auto"/>
              <w:rPr>
                <w:rFonts w:ascii="Times New Roman" w:hAnsi="Times New Roman" w:cs="Times New Roman"/>
                <w:b w:val="0"/>
                <w:szCs w:val="24"/>
              </w:rPr>
            </w:pPr>
            <w:r w:rsidRPr="00B8592C">
              <w:rPr>
                <w:rFonts w:ascii="Times New Roman" w:hAnsi="Times New Roman" w:cs="Times New Roman"/>
                <w:szCs w:val="24"/>
              </w:rPr>
              <w:t>SCBs</w:t>
            </w:r>
          </w:p>
        </w:tc>
        <w:tc>
          <w:tcPr>
            <w:tcW w:w="1118"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33354.6</w:t>
            </w:r>
          </w:p>
        </w:tc>
        <w:tc>
          <w:tcPr>
            <w:tcW w:w="972"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634.5</w:t>
            </w:r>
          </w:p>
        </w:tc>
        <w:tc>
          <w:tcPr>
            <w:tcW w:w="1206"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1230</w:t>
            </w:r>
          </w:p>
        </w:tc>
        <w:tc>
          <w:tcPr>
            <w:tcW w:w="1112"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35219.1</w:t>
            </w:r>
          </w:p>
        </w:tc>
        <w:tc>
          <w:tcPr>
            <w:tcW w:w="1125"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2752.75</w:t>
            </w:r>
          </w:p>
        </w:tc>
        <w:tc>
          <w:tcPr>
            <w:tcW w:w="970"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0.10</w:t>
            </w:r>
          </w:p>
        </w:tc>
        <w:tc>
          <w:tcPr>
            <w:tcW w:w="1206"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9.93</w:t>
            </w:r>
          </w:p>
        </w:tc>
        <w:tc>
          <w:tcPr>
            <w:tcW w:w="1125"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2762.78</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799" w:type="dxa"/>
          </w:tcPr>
          <w:p w:rsidR="00B8592C" w:rsidRPr="00B8592C" w:rsidRDefault="00B8592C" w:rsidP="00B8592C">
            <w:pPr>
              <w:spacing w:line="276" w:lineRule="auto"/>
              <w:rPr>
                <w:rFonts w:ascii="Times New Roman" w:hAnsi="Times New Roman" w:cs="Times New Roman"/>
                <w:b w:val="0"/>
                <w:szCs w:val="24"/>
              </w:rPr>
            </w:pPr>
            <w:r w:rsidRPr="00B8592C">
              <w:rPr>
                <w:rFonts w:ascii="Times New Roman" w:hAnsi="Times New Roman" w:cs="Times New Roman"/>
                <w:szCs w:val="24"/>
              </w:rPr>
              <w:t>SDBs</w:t>
            </w:r>
          </w:p>
        </w:tc>
        <w:tc>
          <w:tcPr>
            <w:tcW w:w="1118"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1230</w:t>
            </w:r>
          </w:p>
        </w:tc>
        <w:tc>
          <w:tcPr>
            <w:tcW w:w="972"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0.6</w:t>
            </w:r>
          </w:p>
        </w:tc>
        <w:tc>
          <w:tcPr>
            <w:tcW w:w="1206"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0.30</w:t>
            </w:r>
          </w:p>
        </w:tc>
        <w:tc>
          <w:tcPr>
            <w:tcW w:w="1112"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1230.9</w:t>
            </w:r>
          </w:p>
        </w:tc>
        <w:tc>
          <w:tcPr>
            <w:tcW w:w="1125"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13.6</w:t>
            </w:r>
          </w:p>
        </w:tc>
        <w:tc>
          <w:tcPr>
            <w:tcW w:w="970"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0.00</w:t>
            </w:r>
          </w:p>
        </w:tc>
        <w:tc>
          <w:tcPr>
            <w:tcW w:w="1206"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0.00</w:t>
            </w:r>
          </w:p>
        </w:tc>
        <w:tc>
          <w:tcPr>
            <w:tcW w:w="1125"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13.6</w:t>
            </w:r>
          </w:p>
        </w:tc>
      </w:tr>
      <w:tr w:rsidR="00B8592C" w:rsidRPr="00B8592C" w:rsidTr="00B8592C">
        <w:trPr>
          <w:trHeight w:val="258"/>
        </w:trPr>
        <w:tc>
          <w:tcPr>
            <w:cnfStyle w:val="001000000000" w:firstRow="0" w:lastRow="0" w:firstColumn="1" w:lastColumn="0" w:oddVBand="0" w:evenVBand="0" w:oddHBand="0" w:evenHBand="0" w:firstRowFirstColumn="0" w:firstRowLastColumn="0" w:lastRowFirstColumn="0" w:lastRowLastColumn="0"/>
            <w:tcW w:w="799" w:type="dxa"/>
          </w:tcPr>
          <w:p w:rsidR="00B8592C" w:rsidRPr="00B8592C" w:rsidRDefault="00B8592C" w:rsidP="00B8592C">
            <w:pPr>
              <w:spacing w:line="276" w:lineRule="auto"/>
              <w:rPr>
                <w:rFonts w:ascii="Times New Roman" w:hAnsi="Times New Roman" w:cs="Times New Roman"/>
                <w:b w:val="0"/>
                <w:szCs w:val="24"/>
              </w:rPr>
            </w:pPr>
            <w:r w:rsidRPr="00B8592C">
              <w:rPr>
                <w:rFonts w:ascii="Times New Roman" w:hAnsi="Times New Roman" w:cs="Times New Roman"/>
                <w:szCs w:val="24"/>
              </w:rPr>
              <w:lastRenderedPageBreak/>
              <w:t>PCBs</w:t>
            </w:r>
          </w:p>
        </w:tc>
        <w:tc>
          <w:tcPr>
            <w:tcW w:w="1118"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532517.32</w:t>
            </w:r>
          </w:p>
        </w:tc>
        <w:tc>
          <w:tcPr>
            <w:tcW w:w="972"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1056.99</w:t>
            </w:r>
          </w:p>
        </w:tc>
        <w:tc>
          <w:tcPr>
            <w:tcW w:w="1206"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5763.02</w:t>
            </w:r>
          </w:p>
        </w:tc>
        <w:tc>
          <w:tcPr>
            <w:tcW w:w="1112"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539337.33</w:t>
            </w:r>
          </w:p>
        </w:tc>
        <w:tc>
          <w:tcPr>
            <w:tcW w:w="1125"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244584.83</w:t>
            </w:r>
          </w:p>
        </w:tc>
        <w:tc>
          <w:tcPr>
            <w:tcW w:w="970"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290.73</w:t>
            </w:r>
          </w:p>
        </w:tc>
        <w:tc>
          <w:tcPr>
            <w:tcW w:w="1206"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54.99</w:t>
            </w:r>
          </w:p>
        </w:tc>
        <w:tc>
          <w:tcPr>
            <w:tcW w:w="1125"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244930.55</w:t>
            </w:r>
          </w:p>
        </w:tc>
      </w:tr>
      <w:tr w:rsidR="00B8592C" w:rsidRPr="00B8592C" w:rsidTr="00B8592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799" w:type="dxa"/>
          </w:tcPr>
          <w:p w:rsidR="00B8592C" w:rsidRPr="00B8592C" w:rsidRDefault="00B8592C" w:rsidP="00B8592C">
            <w:pPr>
              <w:spacing w:line="276" w:lineRule="auto"/>
              <w:rPr>
                <w:rFonts w:ascii="Times New Roman" w:hAnsi="Times New Roman" w:cs="Times New Roman"/>
                <w:b w:val="0"/>
                <w:szCs w:val="24"/>
              </w:rPr>
            </w:pPr>
            <w:r w:rsidRPr="00B8592C">
              <w:rPr>
                <w:rFonts w:ascii="Times New Roman" w:hAnsi="Times New Roman" w:cs="Times New Roman"/>
                <w:szCs w:val="24"/>
              </w:rPr>
              <w:t>FCBs</w:t>
            </w:r>
          </w:p>
        </w:tc>
        <w:tc>
          <w:tcPr>
            <w:tcW w:w="1118"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162238.16</w:t>
            </w:r>
          </w:p>
        </w:tc>
        <w:tc>
          <w:tcPr>
            <w:tcW w:w="972"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536.54</w:t>
            </w:r>
          </w:p>
        </w:tc>
        <w:tc>
          <w:tcPr>
            <w:tcW w:w="1206"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195.6</w:t>
            </w:r>
          </w:p>
        </w:tc>
        <w:tc>
          <w:tcPr>
            <w:tcW w:w="1112"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162970.3</w:t>
            </w:r>
          </w:p>
        </w:tc>
        <w:tc>
          <w:tcPr>
            <w:tcW w:w="1125"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48277.54</w:t>
            </w:r>
          </w:p>
        </w:tc>
        <w:tc>
          <w:tcPr>
            <w:tcW w:w="970"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86.68</w:t>
            </w:r>
          </w:p>
        </w:tc>
        <w:tc>
          <w:tcPr>
            <w:tcW w:w="1206"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0.00</w:t>
            </w:r>
          </w:p>
        </w:tc>
        <w:tc>
          <w:tcPr>
            <w:tcW w:w="1125" w:type="dxa"/>
          </w:tcPr>
          <w:p w:rsidR="00B8592C" w:rsidRPr="00B8592C" w:rsidRDefault="00B8592C" w:rsidP="00B859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8592C">
              <w:rPr>
                <w:rFonts w:ascii="Times New Roman" w:hAnsi="Times New Roman" w:cs="Times New Roman"/>
                <w:sz w:val="20"/>
                <w:szCs w:val="24"/>
              </w:rPr>
              <w:t>48364.22</w:t>
            </w:r>
          </w:p>
        </w:tc>
      </w:tr>
      <w:tr w:rsidR="00B8592C" w:rsidRPr="00B8592C" w:rsidTr="00B8592C">
        <w:trPr>
          <w:trHeight w:val="274"/>
        </w:trPr>
        <w:tc>
          <w:tcPr>
            <w:cnfStyle w:val="001000000000" w:firstRow="0" w:lastRow="0" w:firstColumn="1" w:lastColumn="0" w:oddVBand="0" w:evenVBand="0" w:oddHBand="0" w:evenHBand="0" w:firstRowFirstColumn="0" w:firstRowLastColumn="0" w:lastRowFirstColumn="0" w:lastRowLastColumn="0"/>
            <w:tcW w:w="799" w:type="dxa"/>
          </w:tcPr>
          <w:p w:rsidR="00B8592C" w:rsidRPr="00B8592C" w:rsidRDefault="00B8592C" w:rsidP="00B8592C">
            <w:pPr>
              <w:spacing w:line="276" w:lineRule="auto"/>
              <w:rPr>
                <w:rFonts w:ascii="Times New Roman" w:hAnsi="Times New Roman" w:cs="Times New Roman"/>
                <w:b w:val="0"/>
                <w:sz w:val="24"/>
                <w:szCs w:val="24"/>
              </w:rPr>
            </w:pPr>
            <w:r w:rsidRPr="00B8592C">
              <w:rPr>
                <w:rFonts w:ascii="Times New Roman" w:hAnsi="Times New Roman" w:cs="Times New Roman"/>
                <w:szCs w:val="24"/>
              </w:rPr>
              <w:t>Total</w:t>
            </w:r>
          </w:p>
        </w:tc>
        <w:tc>
          <w:tcPr>
            <w:tcW w:w="1118"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729340.08</w:t>
            </w:r>
          </w:p>
        </w:tc>
        <w:tc>
          <w:tcPr>
            <w:tcW w:w="972"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2228.63</w:t>
            </w:r>
          </w:p>
        </w:tc>
        <w:tc>
          <w:tcPr>
            <w:tcW w:w="1206"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7188.92</w:t>
            </w:r>
          </w:p>
        </w:tc>
        <w:tc>
          <w:tcPr>
            <w:tcW w:w="1112"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738757.63</w:t>
            </w:r>
          </w:p>
        </w:tc>
        <w:tc>
          <w:tcPr>
            <w:tcW w:w="1125"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295628.72</w:t>
            </w:r>
          </w:p>
        </w:tc>
        <w:tc>
          <w:tcPr>
            <w:tcW w:w="970"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377.51</w:t>
            </w:r>
          </w:p>
        </w:tc>
        <w:tc>
          <w:tcPr>
            <w:tcW w:w="1206"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64.92</w:t>
            </w:r>
          </w:p>
        </w:tc>
        <w:tc>
          <w:tcPr>
            <w:tcW w:w="1125" w:type="dxa"/>
          </w:tcPr>
          <w:p w:rsidR="00B8592C" w:rsidRPr="00B8592C" w:rsidRDefault="00B8592C" w:rsidP="00B859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B8592C">
              <w:rPr>
                <w:rFonts w:ascii="Times New Roman" w:hAnsi="Times New Roman" w:cs="Times New Roman"/>
                <w:b/>
                <w:sz w:val="20"/>
                <w:szCs w:val="24"/>
              </w:rPr>
              <w:t>296071.15</w:t>
            </w:r>
          </w:p>
        </w:tc>
      </w:tr>
    </w:tbl>
    <w:p w:rsidR="00B8592C" w:rsidRPr="00B8592C" w:rsidRDefault="00B8592C" w:rsidP="00B8592C">
      <w:pPr>
        <w:tabs>
          <w:tab w:val="left" w:pos="1980"/>
        </w:tabs>
        <w:spacing w:after="0"/>
        <w:rPr>
          <w:rFonts w:ascii="Times New Roman" w:hAnsi="Times New Roman" w:cs="Times New Roman"/>
          <w:b/>
          <w:sz w:val="20"/>
          <w:szCs w:val="24"/>
        </w:rPr>
      </w:pPr>
      <w:r w:rsidRPr="00B8592C">
        <w:rPr>
          <w:rFonts w:ascii="Times New Roman" w:hAnsi="Times New Roman" w:cs="Times New Roman"/>
          <w:b/>
          <w:sz w:val="20"/>
          <w:szCs w:val="24"/>
        </w:rPr>
        <w:t>Source: Bangladesh Bank Annual Report on Green Banking – 2015</w:t>
      </w:r>
    </w:p>
    <w:p w:rsidR="00B8592C" w:rsidRPr="00B8592C" w:rsidRDefault="00B8592C" w:rsidP="00B8592C">
      <w:pPr>
        <w:tabs>
          <w:tab w:val="left" w:pos="2955"/>
        </w:tabs>
        <w:spacing w:after="0"/>
        <w:jc w:val="both"/>
        <w:rPr>
          <w:rFonts w:ascii="Times New Roman" w:hAnsi="Times New Roman" w:cs="Times New Roman"/>
          <w:sz w:val="24"/>
          <w:szCs w:val="24"/>
        </w:rPr>
      </w:pPr>
    </w:p>
    <w:p w:rsidR="00B8592C" w:rsidRPr="00B8592C" w:rsidRDefault="00B8592C" w:rsidP="00B8592C">
      <w:pPr>
        <w:tabs>
          <w:tab w:val="left" w:pos="2955"/>
        </w:tabs>
        <w:spacing w:after="0"/>
        <w:jc w:val="both"/>
        <w:rPr>
          <w:rFonts w:ascii="Times New Roman" w:hAnsi="Times New Roman" w:cs="Times New Roman"/>
          <w:sz w:val="24"/>
          <w:szCs w:val="24"/>
        </w:rPr>
      </w:pPr>
      <w:r w:rsidRPr="00B8592C">
        <w:rPr>
          <w:rFonts w:ascii="Times New Roman" w:hAnsi="Times New Roman" w:cs="Times New Roman"/>
          <w:sz w:val="24"/>
          <w:szCs w:val="24"/>
        </w:rPr>
        <w:t>Out of Tk. 738757.63 million for green banking activities, bank have allocated Tk. 729340.08 for green finance, Tk. 2228.63 for climate risk fund and Tk. 7188.92 for marketing training and capacity building. This allocation has been made on annual basis.</w:t>
      </w:r>
    </w:p>
    <w:p w:rsidR="00B8592C" w:rsidRPr="00B8592C" w:rsidRDefault="00B8592C" w:rsidP="00B8592C">
      <w:pPr>
        <w:tabs>
          <w:tab w:val="left" w:pos="2955"/>
        </w:tabs>
        <w:jc w:val="both"/>
        <w:rPr>
          <w:rFonts w:ascii="Times New Roman" w:hAnsi="Times New Roman" w:cs="Times New Roman"/>
          <w:sz w:val="24"/>
          <w:szCs w:val="24"/>
        </w:rPr>
      </w:pPr>
      <w:r w:rsidRPr="00B8592C">
        <w:rPr>
          <w:rFonts w:ascii="Times New Roman" w:hAnsi="Times New Roman" w:cs="Times New Roman"/>
          <w:sz w:val="24"/>
          <w:szCs w:val="24"/>
        </w:rPr>
        <w:t xml:space="preserve">Banks have utilized Tk. 296071.15 million in the reporting annual for green banking activities. Out of which, Tk. 295628.72 for green finance, Tk. 377.51 for climate risk fund and Tk. 64.92 have been utilized for marketing training and capacity building.    </w:t>
      </w:r>
    </w:p>
    <w:p w:rsidR="00B8592C" w:rsidRPr="00B8592C" w:rsidRDefault="00B8592C" w:rsidP="00B8592C">
      <w:pPr>
        <w:tabs>
          <w:tab w:val="left" w:pos="2955"/>
        </w:tabs>
        <w:jc w:val="both"/>
        <w:rPr>
          <w:rFonts w:ascii="Times New Roman" w:hAnsi="Times New Roman" w:cs="Times New Roman"/>
          <w:b/>
          <w:bCs/>
          <w:sz w:val="28"/>
          <w:szCs w:val="24"/>
        </w:rPr>
      </w:pPr>
      <w:r w:rsidRPr="00B8592C">
        <w:rPr>
          <w:rFonts w:ascii="Times New Roman" w:hAnsi="Times New Roman" w:cs="Times New Roman"/>
          <w:b/>
          <w:sz w:val="28"/>
          <w:szCs w:val="28"/>
        </w:rPr>
        <w:t xml:space="preserve">4.6. </w:t>
      </w:r>
      <w:r w:rsidRPr="00B8592C">
        <w:rPr>
          <w:rFonts w:ascii="Times New Roman" w:hAnsi="Times New Roman" w:cs="Times New Roman"/>
          <w:b/>
          <w:sz w:val="28"/>
          <w:szCs w:val="24"/>
        </w:rPr>
        <w:t xml:space="preserve">Comparison of Annual Basis </w:t>
      </w:r>
      <w:r w:rsidRPr="00B8592C">
        <w:rPr>
          <w:rFonts w:ascii="Times New Roman" w:hAnsi="Times New Roman" w:cs="Times New Roman"/>
          <w:b/>
          <w:bCs/>
          <w:sz w:val="28"/>
          <w:szCs w:val="24"/>
        </w:rPr>
        <w:t>Utilization of Funds:</w:t>
      </w:r>
    </w:p>
    <w:p w:rsidR="00B8592C" w:rsidRPr="00B8592C" w:rsidRDefault="00B8592C" w:rsidP="00B8592C">
      <w:pPr>
        <w:tabs>
          <w:tab w:val="left" w:pos="2955"/>
        </w:tabs>
        <w:jc w:val="both"/>
        <w:rPr>
          <w:rFonts w:ascii="Times New Roman" w:hAnsi="Times New Roman" w:cs="Times New Roman"/>
          <w:sz w:val="24"/>
          <w:szCs w:val="28"/>
        </w:rPr>
      </w:pPr>
      <w:r w:rsidRPr="00B8592C">
        <w:rPr>
          <w:rFonts w:ascii="Times New Roman" w:hAnsi="Times New Roman" w:cs="Times New Roman"/>
          <w:bCs/>
          <w:sz w:val="24"/>
          <w:szCs w:val="24"/>
        </w:rPr>
        <w:t>For compare the annual basis of budget utilization given below the graph which is showing the annual basis comparison:</w:t>
      </w:r>
    </w:p>
    <w:p w:rsidR="00B8592C" w:rsidRPr="00B8592C" w:rsidRDefault="00B8592C" w:rsidP="00B8592C">
      <w:pPr>
        <w:tabs>
          <w:tab w:val="left" w:pos="2790"/>
        </w:tabs>
        <w:spacing w:after="0"/>
        <w:jc w:val="center"/>
        <w:rPr>
          <w:rFonts w:ascii="Times New Roman" w:hAnsi="Times New Roman" w:cs="Times New Roman"/>
          <w:b/>
          <w:sz w:val="20"/>
          <w:szCs w:val="24"/>
        </w:rPr>
      </w:pPr>
      <w:r w:rsidRPr="00B8592C">
        <w:rPr>
          <w:rFonts w:ascii="Times New Roman" w:hAnsi="Times New Roman" w:cs="Times New Roman"/>
          <w:b/>
          <w:sz w:val="20"/>
          <w:szCs w:val="24"/>
        </w:rPr>
        <w:t xml:space="preserve">4.6. Graph: Comparison of Annual Basis </w:t>
      </w:r>
      <w:r w:rsidRPr="00B8592C">
        <w:rPr>
          <w:rFonts w:ascii="Times New Roman" w:hAnsi="Times New Roman" w:cs="Times New Roman"/>
          <w:b/>
          <w:bCs/>
          <w:sz w:val="20"/>
          <w:szCs w:val="24"/>
        </w:rPr>
        <w:t>Utilization of Funds</w:t>
      </w:r>
    </w:p>
    <w:p w:rsidR="00B8592C" w:rsidRPr="00B8592C" w:rsidRDefault="00B8592C" w:rsidP="00B8592C">
      <w:pPr>
        <w:tabs>
          <w:tab w:val="left" w:pos="1980"/>
        </w:tabs>
        <w:spacing w:after="0"/>
        <w:jc w:val="both"/>
        <w:rPr>
          <w:rFonts w:ascii="Times New Roman" w:hAnsi="Times New Roman" w:cs="Times New Roman"/>
          <w:sz w:val="24"/>
          <w:szCs w:val="24"/>
        </w:rPr>
      </w:pPr>
      <w:r w:rsidRPr="00B8592C">
        <w:rPr>
          <w:rFonts w:ascii="Times New Roman" w:hAnsi="Times New Roman" w:cs="Times New Roman"/>
          <w:noProof/>
          <w:sz w:val="24"/>
          <w:szCs w:val="24"/>
        </w:rPr>
        <w:drawing>
          <wp:inline distT="0" distB="0" distL="0" distR="0" wp14:anchorId="02E092E4" wp14:editId="7C6FE0A8">
            <wp:extent cx="5726133" cy="2505694"/>
            <wp:effectExtent l="57150" t="0" r="46017" b="47006"/>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8592C" w:rsidRPr="00B8592C" w:rsidRDefault="00B8592C" w:rsidP="00B8592C">
      <w:pPr>
        <w:tabs>
          <w:tab w:val="left" w:pos="1980"/>
        </w:tabs>
        <w:jc w:val="both"/>
        <w:rPr>
          <w:rFonts w:ascii="Times New Roman" w:hAnsi="Times New Roman" w:cs="Times New Roman"/>
          <w:b/>
          <w:sz w:val="20"/>
          <w:szCs w:val="24"/>
        </w:rPr>
      </w:pPr>
      <w:r w:rsidRPr="00B8592C">
        <w:rPr>
          <w:rFonts w:ascii="Times New Roman" w:hAnsi="Times New Roman" w:cs="Times New Roman"/>
          <w:b/>
          <w:sz w:val="20"/>
          <w:szCs w:val="24"/>
        </w:rPr>
        <w:t>Source: Bangladesh Bank Annual Report on Green Banking</w:t>
      </w:r>
    </w:p>
    <w:p w:rsidR="00B8592C" w:rsidRPr="00B8592C" w:rsidRDefault="00B8592C" w:rsidP="00B8592C">
      <w:pPr>
        <w:widowControl w:val="0"/>
        <w:autoSpaceDE w:val="0"/>
        <w:autoSpaceDN w:val="0"/>
        <w:adjustRightInd w:val="0"/>
        <w:spacing w:after="0" w:line="360" w:lineRule="auto"/>
        <w:rPr>
          <w:rFonts w:ascii="Times New Roman" w:hAnsi="Times New Roman" w:cs="Times New Roman"/>
          <w:color w:val="000000"/>
          <w:sz w:val="24"/>
          <w:szCs w:val="24"/>
        </w:rPr>
      </w:pPr>
      <w:r w:rsidRPr="00B8592C">
        <w:rPr>
          <w:rFonts w:ascii="Times New Roman" w:hAnsi="Times New Roman" w:cs="Times New Roman"/>
          <w:szCs w:val="24"/>
        </w:rPr>
        <w:t xml:space="preserve">By comparison the annual basis utilization of funds, In 2014 Private Commercial Banks has utilized the maximum amount Tk. 320978.11 million and Foreign Commercial Bank utilized also the maximum amount is 87991.1 million. In 2012, 2013, 2014 and 2015 always Private Commercial Bank and Foreign Commercial Banks utilized the maximum amount of money but in 2014 they utilized the large amount of money rather than others years. </w:t>
      </w:r>
      <w:r w:rsidRPr="00B8592C">
        <w:rPr>
          <w:rFonts w:ascii="Times New Roman" w:hAnsi="Times New Roman" w:cs="Times New Roman"/>
          <w:color w:val="000000"/>
          <w:sz w:val="24"/>
          <w:szCs w:val="24"/>
        </w:rPr>
        <w:t>State -owned Commercial Banks and Specialized Development Banks utilized the maximum amount in 2012, but in 2013, 2014, and 2015 they utilized the small amount of money rather than 2012.</w:t>
      </w:r>
    </w:p>
    <w:p w:rsidR="00B8592C" w:rsidRPr="00B8592C" w:rsidRDefault="00B8592C" w:rsidP="00B8592C"/>
    <w:p w:rsidR="00B8592C" w:rsidRDefault="00B8592C" w:rsidP="00B8592C">
      <w:pPr>
        <w:spacing w:line="360" w:lineRule="auto"/>
        <w:jc w:val="both"/>
        <w:rPr>
          <w:rFonts w:ascii="Times New Roman" w:eastAsia="Calibri" w:hAnsi="Times New Roman" w:cs="Times New Roman"/>
          <w:sz w:val="24"/>
        </w:rPr>
      </w:pPr>
    </w:p>
    <w:p w:rsidR="00B8592C" w:rsidRDefault="00B8592C" w:rsidP="00B8592C">
      <w:pPr>
        <w:jc w:val="both"/>
        <w:rPr>
          <w:rFonts w:ascii="Times New Roman" w:hAnsi="Times New Roman" w:cs="Times New Roman"/>
          <w:sz w:val="24"/>
          <w:szCs w:val="28"/>
        </w:rPr>
      </w:pPr>
    </w:p>
    <w:p w:rsidR="00B8592C" w:rsidRPr="00B17DB6" w:rsidRDefault="00B8592C" w:rsidP="00B8592C">
      <w:pPr>
        <w:widowControl w:val="0"/>
        <w:autoSpaceDE w:val="0"/>
        <w:autoSpaceDN w:val="0"/>
        <w:adjustRightInd w:val="0"/>
        <w:spacing w:after="0" w:line="480" w:lineRule="exact"/>
        <w:jc w:val="both"/>
        <w:rPr>
          <w:rFonts w:ascii="Times New Roman" w:hAnsi="Times New Roman" w:cs="Vrinda"/>
          <w:color w:val="000000"/>
          <w:sz w:val="24"/>
          <w:szCs w:val="30"/>
          <w:lang w:bidi="bn-BD"/>
        </w:rPr>
      </w:pPr>
    </w:p>
    <w:p w:rsidR="00B8592C" w:rsidRPr="001B2FC4" w:rsidRDefault="00B8592C" w:rsidP="00B8592C">
      <w:pPr>
        <w:jc w:val="both"/>
        <w:rPr>
          <w:rFonts w:ascii="Times New Roman" w:hAnsi="Times New Roman" w:cs="Times New Roman"/>
          <w:sz w:val="28"/>
          <w:szCs w:val="28"/>
        </w:rPr>
      </w:pPr>
    </w:p>
    <w:p w:rsidR="00B8592C" w:rsidRDefault="00B8592C" w:rsidP="00B8592C">
      <w:pPr>
        <w:rPr>
          <w:rFonts w:ascii="Times New Roman" w:hAnsi="Times New Roman" w:cs="Times New Roman"/>
          <w:sz w:val="24"/>
          <w:szCs w:val="28"/>
        </w:rPr>
      </w:pPr>
    </w:p>
    <w:p w:rsidR="00B8592C" w:rsidRPr="007A369A" w:rsidRDefault="00B8592C" w:rsidP="00B8592C">
      <w:pPr>
        <w:jc w:val="both"/>
        <w:rPr>
          <w:rFonts w:ascii="Times New Roman" w:hAnsi="Times New Roman" w:cs="Times New Roman"/>
          <w:sz w:val="24"/>
          <w:szCs w:val="28"/>
        </w:rPr>
      </w:pPr>
    </w:p>
    <w:p w:rsidR="00B8592C" w:rsidRDefault="00B8592C" w:rsidP="00B8592C">
      <w:pPr>
        <w:jc w:val="both"/>
        <w:rPr>
          <w:rFonts w:ascii="Times New Roman" w:hAnsi="Times New Roman" w:cs="Times New Roman"/>
          <w:b/>
          <w:color w:val="0070C0"/>
          <w:sz w:val="24"/>
          <w:szCs w:val="28"/>
        </w:rPr>
      </w:pPr>
    </w:p>
    <w:p w:rsidR="00B8592C" w:rsidRDefault="00B8592C" w:rsidP="00B8592C">
      <w:pPr>
        <w:jc w:val="both"/>
        <w:rPr>
          <w:rFonts w:ascii="Times New Roman" w:hAnsi="Times New Roman" w:cs="Times New Roman"/>
          <w:b/>
          <w:color w:val="0070C0"/>
          <w:sz w:val="24"/>
          <w:szCs w:val="28"/>
        </w:rPr>
      </w:pPr>
    </w:p>
    <w:p w:rsidR="00B8592C" w:rsidRDefault="00B8592C" w:rsidP="00B8592C">
      <w:pPr>
        <w:jc w:val="both"/>
        <w:rPr>
          <w:rFonts w:ascii="Times New Roman" w:hAnsi="Times New Roman" w:cs="Times New Roman"/>
          <w:b/>
          <w:color w:val="0070C0"/>
          <w:sz w:val="24"/>
          <w:szCs w:val="28"/>
        </w:rPr>
      </w:pPr>
      <w:r>
        <w:rPr>
          <w:rFonts w:ascii="Times New Roman" w:hAnsi="Times New Roman" w:cs="Times New Roman"/>
          <w:b/>
          <w:noProof/>
          <w:color w:val="0070C0"/>
          <w:sz w:val="24"/>
          <w:szCs w:val="28"/>
        </w:rPr>
        <w:pict>
          <v:shape id="_x0000_s1042" type="#_x0000_t98" style="position:absolute;left:0;text-align:left;margin-left:17.65pt;margin-top:14.95pt;width:433.05pt;height:266pt;z-index:251685888" fillcolor="#92cddc [1944]" strokecolor="#92cddc [1944]" strokeweight="1pt">
            <v:fill color2="#daeef3 [664]" angle="-45" focusposition="1" focussize="" focus="-50%" type="gradient"/>
            <v:shadow on="t" type="perspective" color="#205867 [1608]" opacity=".5" offset="1pt" offset2="-3pt"/>
            <o:extrusion v:ext="view" render="wireFrame"/>
            <v:textbox style="mso-next-textbox:#_x0000_s1042">
              <w:txbxContent>
                <w:p w:rsidR="00B8592C" w:rsidRPr="00972FDC" w:rsidRDefault="00B8592C" w:rsidP="00B8592C">
                  <w:pPr>
                    <w:jc w:val="center"/>
                  </w:pPr>
                </w:p>
                <w:p w:rsidR="00B8592C" w:rsidRPr="00972FDC" w:rsidRDefault="00B8592C" w:rsidP="00B8592C">
                  <w:pPr>
                    <w:jc w:val="center"/>
                    <w:rPr>
                      <w:rFonts w:ascii="Times New Roman" w:hAnsi="Times New Roman" w:cs="Times New Roman"/>
                      <w:b/>
                      <w:sz w:val="44"/>
                      <w:szCs w:val="28"/>
                    </w:rPr>
                  </w:pPr>
                  <w:r w:rsidRPr="00972FDC">
                    <w:rPr>
                      <w:rFonts w:ascii="Times New Roman" w:hAnsi="Times New Roman" w:cs="Times New Roman"/>
                      <w:b/>
                      <w:sz w:val="44"/>
                      <w:szCs w:val="28"/>
                    </w:rPr>
                    <w:t>Chapter –</w:t>
                  </w:r>
                  <w:r>
                    <w:rPr>
                      <w:rFonts w:ascii="Times New Roman" w:hAnsi="Times New Roman" w:cs="Times New Roman"/>
                      <w:b/>
                      <w:sz w:val="44"/>
                      <w:szCs w:val="28"/>
                    </w:rPr>
                    <w:t>6</w:t>
                  </w:r>
                </w:p>
                <w:p w:rsidR="00B8592C" w:rsidRPr="00972FDC" w:rsidRDefault="00B8592C" w:rsidP="00B8592C">
                  <w:pPr>
                    <w:jc w:val="center"/>
                    <w:rPr>
                      <w:rFonts w:ascii="Times New Roman" w:hAnsi="Times New Roman" w:cs="Times New Roman"/>
                      <w:b/>
                      <w:color w:val="00B050"/>
                      <w:sz w:val="56"/>
                      <w:szCs w:val="28"/>
                    </w:rPr>
                  </w:pPr>
                  <w:r>
                    <w:rPr>
                      <w:rFonts w:ascii="Times New Roman" w:hAnsi="Times New Roman" w:cs="Times New Roman"/>
                      <w:b/>
                      <w:color w:val="00B050"/>
                      <w:sz w:val="56"/>
                      <w:szCs w:val="28"/>
                    </w:rPr>
                    <w:t>Findings, Recommendations &amp; Conclusion</w:t>
                  </w:r>
                </w:p>
              </w:txbxContent>
            </v:textbox>
          </v:shape>
        </w:pict>
      </w:r>
    </w:p>
    <w:p w:rsidR="00B8592C" w:rsidRDefault="00B8592C" w:rsidP="00B8592C">
      <w:pPr>
        <w:jc w:val="both"/>
        <w:rPr>
          <w:rFonts w:ascii="Times New Roman" w:hAnsi="Times New Roman" w:cs="Times New Roman"/>
          <w:b/>
          <w:color w:val="0070C0"/>
          <w:sz w:val="24"/>
          <w:szCs w:val="28"/>
        </w:rPr>
      </w:pPr>
    </w:p>
    <w:p w:rsidR="00B8592C" w:rsidRDefault="00B8592C" w:rsidP="00B8592C">
      <w:pPr>
        <w:jc w:val="both"/>
        <w:rPr>
          <w:rFonts w:ascii="Times New Roman" w:hAnsi="Times New Roman" w:cs="Times New Roman"/>
          <w:b/>
          <w:color w:val="0070C0"/>
          <w:sz w:val="24"/>
          <w:szCs w:val="28"/>
        </w:rPr>
      </w:pPr>
    </w:p>
    <w:p w:rsidR="00B8592C" w:rsidRDefault="00B8592C" w:rsidP="00B8592C">
      <w:pPr>
        <w:jc w:val="both"/>
        <w:rPr>
          <w:rFonts w:ascii="Times New Roman" w:hAnsi="Times New Roman" w:cs="Times New Roman"/>
          <w:b/>
          <w:color w:val="0070C0"/>
          <w:sz w:val="24"/>
          <w:szCs w:val="28"/>
        </w:rPr>
      </w:pPr>
    </w:p>
    <w:p w:rsidR="00B8592C" w:rsidRDefault="00B8592C" w:rsidP="00B8592C">
      <w:pPr>
        <w:jc w:val="both"/>
        <w:rPr>
          <w:rFonts w:ascii="Times New Roman" w:hAnsi="Times New Roman" w:cs="Times New Roman"/>
          <w:b/>
          <w:color w:val="0070C0"/>
          <w:sz w:val="24"/>
          <w:szCs w:val="28"/>
        </w:rPr>
      </w:pPr>
    </w:p>
    <w:p w:rsidR="00B8592C" w:rsidRDefault="00B8592C" w:rsidP="00B8592C">
      <w:pPr>
        <w:jc w:val="both"/>
        <w:rPr>
          <w:rFonts w:ascii="Times New Roman" w:hAnsi="Times New Roman" w:cs="Times New Roman"/>
          <w:b/>
          <w:color w:val="0070C0"/>
          <w:sz w:val="24"/>
          <w:szCs w:val="28"/>
        </w:rPr>
      </w:pPr>
    </w:p>
    <w:p w:rsidR="00B8592C" w:rsidRDefault="00B8592C" w:rsidP="00B8592C">
      <w:pPr>
        <w:jc w:val="both"/>
        <w:rPr>
          <w:rFonts w:ascii="Times New Roman" w:hAnsi="Times New Roman" w:cs="Times New Roman"/>
          <w:b/>
          <w:color w:val="0070C0"/>
          <w:sz w:val="24"/>
          <w:szCs w:val="28"/>
        </w:rPr>
      </w:pPr>
    </w:p>
    <w:p w:rsidR="00B8592C" w:rsidRDefault="00B8592C" w:rsidP="00B8592C">
      <w:pPr>
        <w:jc w:val="both"/>
        <w:rPr>
          <w:rFonts w:ascii="Times New Roman" w:hAnsi="Times New Roman" w:cs="Times New Roman"/>
          <w:b/>
          <w:color w:val="0070C0"/>
          <w:sz w:val="24"/>
          <w:szCs w:val="28"/>
        </w:rPr>
      </w:pPr>
    </w:p>
    <w:p w:rsidR="00B8592C" w:rsidRDefault="00B8592C" w:rsidP="00B8592C">
      <w:pPr>
        <w:jc w:val="both"/>
        <w:rPr>
          <w:rFonts w:ascii="Times New Roman" w:hAnsi="Times New Roman" w:cs="Times New Roman"/>
          <w:b/>
          <w:color w:val="0070C0"/>
          <w:sz w:val="24"/>
          <w:szCs w:val="28"/>
        </w:rPr>
      </w:pPr>
    </w:p>
    <w:p w:rsidR="00B8592C" w:rsidRDefault="00B8592C" w:rsidP="00B8592C">
      <w:pPr>
        <w:jc w:val="both"/>
        <w:rPr>
          <w:rFonts w:ascii="Times New Roman" w:hAnsi="Times New Roman" w:cs="Times New Roman"/>
          <w:b/>
          <w:color w:val="0070C0"/>
          <w:sz w:val="24"/>
          <w:szCs w:val="28"/>
        </w:rPr>
      </w:pPr>
    </w:p>
    <w:p w:rsidR="00B8592C" w:rsidRPr="00556211" w:rsidRDefault="00B8592C" w:rsidP="00B8592C">
      <w:pPr>
        <w:rPr>
          <w:rFonts w:ascii="Times New Roman" w:hAnsi="Times New Roman" w:cs="Times New Roman"/>
          <w:sz w:val="24"/>
          <w:szCs w:val="28"/>
        </w:rPr>
      </w:pPr>
    </w:p>
    <w:p w:rsidR="00B8592C" w:rsidRPr="00556211" w:rsidRDefault="00B8592C" w:rsidP="00B8592C">
      <w:pPr>
        <w:rPr>
          <w:rFonts w:ascii="Times New Roman" w:hAnsi="Times New Roman" w:cs="Times New Roman"/>
          <w:sz w:val="24"/>
          <w:szCs w:val="28"/>
        </w:rPr>
      </w:pPr>
    </w:p>
    <w:p w:rsidR="00B8592C" w:rsidRPr="00556211" w:rsidRDefault="00B8592C" w:rsidP="00B8592C">
      <w:pPr>
        <w:rPr>
          <w:rFonts w:ascii="Times New Roman" w:hAnsi="Times New Roman" w:cs="Times New Roman"/>
          <w:sz w:val="24"/>
          <w:szCs w:val="28"/>
        </w:rPr>
      </w:pPr>
    </w:p>
    <w:p w:rsidR="00B8592C" w:rsidRPr="00556211" w:rsidRDefault="00B8592C" w:rsidP="00B8592C">
      <w:pPr>
        <w:rPr>
          <w:rFonts w:ascii="Times New Roman" w:hAnsi="Times New Roman" w:cs="Times New Roman"/>
          <w:sz w:val="24"/>
          <w:szCs w:val="28"/>
        </w:rPr>
      </w:pPr>
    </w:p>
    <w:p w:rsidR="00B8592C" w:rsidRPr="00556211" w:rsidRDefault="00B8592C" w:rsidP="00B8592C">
      <w:pPr>
        <w:rPr>
          <w:rFonts w:ascii="Times New Roman" w:hAnsi="Times New Roman" w:cs="Times New Roman"/>
          <w:sz w:val="24"/>
          <w:szCs w:val="28"/>
        </w:rPr>
      </w:pPr>
    </w:p>
    <w:p w:rsidR="00B8592C" w:rsidRPr="00556211" w:rsidRDefault="00B8592C" w:rsidP="00B8592C">
      <w:pPr>
        <w:rPr>
          <w:rFonts w:ascii="Times New Roman" w:hAnsi="Times New Roman" w:cs="Times New Roman"/>
          <w:sz w:val="24"/>
          <w:szCs w:val="28"/>
        </w:rPr>
      </w:pPr>
    </w:p>
    <w:p w:rsidR="00B8592C" w:rsidRPr="00556211" w:rsidRDefault="00B8592C" w:rsidP="00B8592C">
      <w:pPr>
        <w:rPr>
          <w:rFonts w:ascii="Times New Roman" w:hAnsi="Times New Roman" w:cs="Times New Roman"/>
          <w:sz w:val="24"/>
          <w:szCs w:val="28"/>
        </w:rPr>
      </w:pPr>
    </w:p>
    <w:p w:rsidR="00B8592C" w:rsidRDefault="00B8592C" w:rsidP="00B8592C">
      <w:pPr>
        <w:rPr>
          <w:rFonts w:ascii="Times New Roman" w:hAnsi="Times New Roman" w:cs="Times New Roman"/>
          <w:sz w:val="24"/>
          <w:szCs w:val="28"/>
        </w:rPr>
      </w:pPr>
    </w:p>
    <w:p w:rsidR="00B8592C" w:rsidRDefault="00B8592C" w:rsidP="00B8592C">
      <w:pPr>
        <w:spacing w:line="360" w:lineRule="auto"/>
        <w:jc w:val="both"/>
        <w:rPr>
          <w:rFonts w:ascii="Times New Roman" w:hAnsi="Times New Roman" w:cs="Times New Roman"/>
          <w:sz w:val="24"/>
          <w:szCs w:val="28"/>
        </w:rPr>
      </w:pPr>
    </w:p>
    <w:p w:rsidR="00B8592C" w:rsidRDefault="00B8592C" w:rsidP="00B8592C">
      <w:pPr>
        <w:spacing w:line="360" w:lineRule="auto"/>
        <w:jc w:val="both"/>
        <w:rPr>
          <w:rFonts w:ascii="Times New Roman" w:hAnsi="Times New Roman" w:cs="Times New Roman"/>
          <w:b/>
          <w:sz w:val="28"/>
          <w:szCs w:val="28"/>
        </w:rPr>
      </w:pPr>
    </w:p>
    <w:p w:rsidR="00B8592C" w:rsidRDefault="00B8592C" w:rsidP="00B8592C">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5.1. </w:t>
      </w:r>
      <w:r w:rsidRPr="004D0695">
        <w:rPr>
          <w:rFonts w:ascii="Times New Roman" w:hAnsi="Times New Roman" w:cs="Times New Roman"/>
          <w:b/>
          <w:sz w:val="28"/>
          <w:szCs w:val="28"/>
        </w:rPr>
        <w:t>Findings:</w:t>
      </w:r>
    </w:p>
    <w:p w:rsidR="00B8592C" w:rsidRDefault="00B8592C" w:rsidP="00B8592C">
      <w:pPr>
        <w:spacing w:line="360" w:lineRule="auto"/>
        <w:jc w:val="both"/>
        <w:rPr>
          <w:rFonts w:ascii="Times New Roman" w:hAnsi="Times New Roman" w:cs="Times New Roman"/>
          <w:sz w:val="24"/>
        </w:rPr>
      </w:pPr>
      <w:r>
        <w:rPr>
          <w:rFonts w:ascii="Times New Roman" w:hAnsi="Times New Roman" w:cs="Times New Roman"/>
          <w:sz w:val="24"/>
        </w:rPr>
        <w:t>Bank in Bangladesh are playing a vital role towards sustainable development by introducing various green banking practices. Adoption of these green banking practices by the customers will result saving of energy, fuel, paper and other natural resources. Through many studies have been made in the field of green banking but there have been very few studies done in Bangladesh, especially in Banks. The researcher realizes that no study has been carried out on environmental aspects of various green banking practices introduced by the banks in Bangladesh private or public sector. Therefore, it is the high time to carry out study on green banking practices to make the people aware about their benefits to the users as well as the environment. Such study will surely help the banking sector, customer, policy makers and the society as a whole.</w:t>
      </w:r>
    </w:p>
    <w:p w:rsidR="00B8592C" w:rsidRDefault="00B8592C" w:rsidP="00B8592C">
      <w:pPr>
        <w:pStyle w:val="ListParagraph"/>
        <w:numPr>
          <w:ilvl w:val="0"/>
          <w:numId w:val="11"/>
        </w:numPr>
        <w:spacing w:line="360" w:lineRule="auto"/>
        <w:contextualSpacing w:val="0"/>
        <w:jc w:val="both"/>
        <w:rPr>
          <w:rFonts w:ascii="Times New Roman" w:hAnsi="Times New Roman" w:cs="Times New Roman"/>
          <w:sz w:val="24"/>
        </w:rPr>
      </w:pPr>
      <w:r>
        <w:rPr>
          <w:rFonts w:ascii="Times New Roman" w:hAnsi="Times New Roman" w:cs="Times New Roman"/>
          <w:sz w:val="24"/>
        </w:rPr>
        <w:t>The main problem of green finance practices in Bangladesh; the banks have not able to make their customers aware about the green banking practices. Lack of awareness among the general customers has caused underutilization of the green practice offered by the bank in BD.</w:t>
      </w:r>
    </w:p>
    <w:p w:rsidR="00B8592C" w:rsidRDefault="00B8592C" w:rsidP="00B8592C">
      <w:pPr>
        <w:pStyle w:val="ListParagraph"/>
        <w:numPr>
          <w:ilvl w:val="0"/>
          <w:numId w:val="11"/>
        </w:numPr>
        <w:spacing w:line="360" w:lineRule="auto"/>
        <w:contextualSpacing w:val="0"/>
        <w:jc w:val="both"/>
        <w:rPr>
          <w:rFonts w:ascii="Times New Roman" w:hAnsi="Times New Roman" w:cs="Times New Roman"/>
          <w:sz w:val="24"/>
        </w:rPr>
      </w:pPr>
      <w:r>
        <w:rPr>
          <w:rFonts w:ascii="Times New Roman" w:hAnsi="Times New Roman" w:cs="Times New Roman"/>
          <w:sz w:val="24"/>
        </w:rPr>
        <w:t xml:space="preserve">In environmental risk rating there are four category industrial units but there are no specific amount that will indicates the disbursed amounts of banks which is invested  for environment risk rating is Green (least polluted), Orange A ( medium polluted), Orange B (large polluted) and Red (most polluted). </w:t>
      </w:r>
    </w:p>
    <w:p w:rsidR="00B8592C" w:rsidRDefault="00B8592C" w:rsidP="00B8592C">
      <w:pPr>
        <w:pStyle w:val="ListParagraph"/>
        <w:numPr>
          <w:ilvl w:val="0"/>
          <w:numId w:val="11"/>
        </w:numPr>
        <w:spacing w:line="360" w:lineRule="auto"/>
        <w:contextualSpacing w:val="0"/>
        <w:jc w:val="both"/>
        <w:rPr>
          <w:rFonts w:ascii="Times New Roman" w:hAnsi="Times New Roman" w:cs="Times New Roman"/>
          <w:sz w:val="24"/>
        </w:rPr>
      </w:pPr>
      <w:r>
        <w:rPr>
          <w:rFonts w:ascii="Times New Roman" w:hAnsi="Times New Roman" w:cs="Times New Roman"/>
          <w:sz w:val="24"/>
        </w:rPr>
        <w:t>In direct green finance and indirect green finance both sector Private Commercial Banks (PCBs) and Foreign Commercial Banks (FCBs) have the maximum contribution. But State Owned Commercial Banks (SCBs) and Specialized Development Banks (SDBs) have the small part of contribution lower than Private Commercial Banks (PCBs) and Foreign Commercial Banks (FCBs).</w:t>
      </w:r>
    </w:p>
    <w:p w:rsidR="00B8592C" w:rsidRDefault="00B8592C" w:rsidP="00B8592C">
      <w:pPr>
        <w:pStyle w:val="ListParagraph"/>
        <w:numPr>
          <w:ilvl w:val="0"/>
          <w:numId w:val="11"/>
        </w:numPr>
        <w:spacing w:line="360" w:lineRule="auto"/>
        <w:contextualSpacing w:val="0"/>
        <w:jc w:val="both"/>
        <w:rPr>
          <w:rFonts w:ascii="Times New Roman" w:hAnsi="Times New Roman" w:cs="Times New Roman"/>
          <w:sz w:val="24"/>
        </w:rPr>
      </w:pPr>
      <w:r>
        <w:rPr>
          <w:rFonts w:ascii="Times New Roman" w:hAnsi="Times New Roman" w:cs="Times New Roman"/>
          <w:sz w:val="24"/>
        </w:rPr>
        <w:t>In budget allocation and utilization Private Commercial Banks (PCBs) and Foreign Commercial Banks (FCBs) always utilize the maximum amount of funds whereas State Owned Commercial Banks (SCBs) and Specialized Development Banks (SDBs) utilize the minimum amount or small amount of funds which is less than other banks.</w:t>
      </w:r>
    </w:p>
    <w:p w:rsidR="00B8592C" w:rsidRDefault="00B8592C" w:rsidP="00B8592C">
      <w:pPr>
        <w:pStyle w:val="ListParagraph"/>
        <w:numPr>
          <w:ilvl w:val="0"/>
          <w:numId w:val="11"/>
        </w:numPr>
        <w:spacing w:line="360" w:lineRule="auto"/>
        <w:contextualSpacing w:val="0"/>
        <w:jc w:val="both"/>
        <w:rPr>
          <w:rFonts w:ascii="Times New Roman" w:hAnsi="Times New Roman" w:cs="Times New Roman"/>
          <w:sz w:val="24"/>
        </w:rPr>
      </w:pPr>
      <w:r>
        <w:rPr>
          <w:rFonts w:ascii="Times New Roman" w:hAnsi="Times New Roman" w:cs="Times New Roman"/>
          <w:sz w:val="24"/>
        </w:rPr>
        <w:t xml:space="preserve">46 Banks out of 56 had bank exposure in green finance. Here, 40 banks involve in direct finance and 30 banks involve in indirect finance. </w:t>
      </w:r>
    </w:p>
    <w:p w:rsidR="00B8592C" w:rsidRDefault="00B8592C" w:rsidP="00B8592C">
      <w:pPr>
        <w:pStyle w:val="ListParagraph"/>
        <w:numPr>
          <w:ilvl w:val="0"/>
          <w:numId w:val="11"/>
        </w:numPr>
        <w:spacing w:line="360" w:lineRule="auto"/>
        <w:contextualSpacing w:val="0"/>
        <w:jc w:val="both"/>
        <w:rPr>
          <w:rFonts w:ascii="Times New Roman" w:hAnsi="Times New Roman" w:cs="Times New Roman"/>
          <w:sz w:val="24"/>
        </w:rPr>
      </w:pPr>
      <w:r>
        <w:rPr>
          <w:rFonts w:ascii="Times New Roman" w:hAnsi="Times New Roman" w:cs="Times New Roman"/>
          <w:sz w:val="24"/>
        </w:rPr>
        <w:lastRenderedPageBreak/>
        <w:t xml:space="preserve">Still, there is no investment in energy efficiency, solid waste management, non-fire block brick, recycling and recyclable product, Green Industry, safety and security of the factory.  </w:t>
      </w:r>
    </w:p>
    <w:p w:rsidR="00B8592C" w:rsidRDefault="00B8592C" w:rsidP="00B8592C">
      <w:pPr>
        <w:pStyle w:val="ListParagraph"/>
        <w:numPr>
          <w:ilvl w:val="0"/>
          <w:numId w:val="11"/>
        </w:numPr>
        <w:spacing w:line="360" w:lineRule="auto"/>
        <w:contextualSpacing w:val="0"/>
        <w:jc w:val="both"/>
        <w:rPr>
          <w:rFonts w:ascii="Times New Roman" w:hAnsi="Times New Roman" w:cs="Times New Roman"/>
          <w:sz w:val="24"/>
        </w:rPr>
      </w:pPr>
      <w:r>
        <w:rPr>
          <w:rFonts w:ascii="Times New Roman" w:hAnsi="Times New Roman" w:cs="Times New Roman"/>
          <w:sz w:val="24"/>
        </w:rPr>
        <w:t>Lack of knowledge, even among the employees of different banks is also noticed.</w:t>
      </w:r>
    </w:p>
    <w:p w:rsidR="00B8592C" w:rsidRDefault="00B8592C" w:rsidP="00B8592C">
      <w:pPr>
        <w:pStyle w:val="ListParagraph"/>
        <w:numPr>
          <w:ilvl w:val="0"/>
          <w:numId w:val="11"/>
        </w:numPr>
        <w:spacing w:line="360" w:lineRule="auto"/>
        <w:contextualSpacing w:val="0"/>
        <w:jc w:val="both"/>
        <w:rPr>
          <w:rFonts w:ascii="Times New Roman" w:hAnsi="Times New Roman" w:cs="Times New Roman"/>
          <w:sz w:val="24"/>
        </w:rPr>
      </w:pPr>
      <w:r>
        <w:rPr>
          <w:rFonts w:ascii="Times New Roman" w:hAnsi="Times New Roman" w:cs="Times New Roman"/>
          <w:sz w:val="24"/>
        </w:rPr>
        <w:t>All the banks are not equally coming forward to introduce green finance practices.</w:t>
      </w:r>
    </w:p>
    <w:p w:rsidR="00B8592C" w:rsidRPr="0038593E" w:rsidRDefault="00B8592C" w:rsidP="00B8592C">
      <w:pPr>
        <w:ind w:left="360"/>
        <w:jc w:val="both"/>
        <w:rPr>
          <w:rFonts w:ascii="Times New Roman" w:hAnsi="Times New Roman" w:cs="Times New Roman"/>
          <w:sz w:val="24"/>
          <w:szCs w:val="28"/>
        </w:rPr>
      </w:pPr>
    </w:p>
    <w:p w:rsidR="00B8592C" w:rsidRDefault="00B8592C" w:rsidP="00B8592C">
      <w:pPr>
        <w:spacing w:line="360" w:lineRule="auto"/>
        <w:jc w:val="both"/>
        <w:rPr>
          <w:rFonts w:ascii="Times New Roman" w:hAnsi="Times New Roman" w:cs="Times New Roman"/>
          <w:b/>
          <w:sz w:val="28"/>
          <w:szCs w:val="24"/>
        </w:rPr>
      </w:pPr>
    </w:p>
    <w:p w:rsidR="00B8592C" w:rsidRDefault="00B8592C" w:rsidP="00B8592C">
      <w:pPr>
        <w:spacing w:line="360" w:lineRule="auto"/>
        <w:jc w:val="both"/>
        <w:rPr>
          <w:rFonts w:ascii="Times New Roman" w:hAnsi="Times New Roman" w:cs="Times New Roman"/>
          <w:b/>
          <w:sz w:val="28"/>
          <w:szCs w:val="24"/>
        </w:rPr>
      </w:pPr>
    </w:p>
    <w:p w:rsidR="00B8592C" w:rsidRDefault="00B8592C" w:rsidP="00B8592C">
      <w:pPr>
        <w:spacing w:line="360" w:lineRule="auto"/>
        <w:jc w:val="both"/>
        <w:rPr>
          <w:rFonts w:ascii="Times New Roman" w:hAnsi="Times New Roman" w:cs="Times New Roman"/>
          <w:b/>
          <w:sz w:val="28"/>
          <w:szCs w:val="24"/>
        </w:rPr>
      </w:pPr>
    </w:p>
    <w:p w:rsidR="00B8592C" w:rsidRDefault="00B8592C" w:rsidP="00B8592C">
      <w:pPr>
        <w:spacing w:line="360" w:lineRule="auto"/>
        <w:jc w:val="both"/>
        <w:rPr>
          <w:rFonts w:ascii="Times New Roman" w:hAnsi="Times New Roman" w:cs="Times New Roman"/>
          <w:b/>
          <w:sz w:val="28"/>
          <w:szCs w:val="24"/>
        </w:rPr>
      </w:pPr>
    </w:p>
    <w:p w:rsidR="00B8592C" w:rsidRDefault="00B8592C" w:rsidP="00B8592C">
      <w:pPr>
        <w:spacing w:line="360" w:lineRule="auto"/>
        <w:jc w:val="both"/>
        <w:rPr>
          <w:rFonts w:ascii="Times New Roman" w:hAnsi="Times New Roman" w:cs="Times New Roman"/>
          <w:b/>
          <w:sz w:val="28"/>
          <w:szCs w:val="24"/>
        </w:rPr>
      </w:pPr>
    </w:p>
    <w:p w:rsidR="00B8592C" w:rsidRDefault="00B8592C" w:rsidP="00B8592C">
      <w:pPr>
        <w:spacing w:line="360" w:lineRule="auto"/>
        <w:jc w:val="both"/>
        <w:rPr>
          <w:rFonts w:ascii="Times New Roman" w:hAnsi="Times New Roman" w:cs="Times New Roman"/>
          <w:b/>
          <w:sz w:val="28"/>
          <w:szCs w:val="24"/>
        </w:rPr>
      </w:pPr>
    </w:p>
    <w:p w:rsidR="00B8592C" w:rsidRDefault="00B8592C" w:rsidP="00B8592C">
      <w:pPr>
        <w:spacing w:line="360" w:lineRule="auto"/>
        <w:jc w:val="both"/>
        <w:rPr>
          <w:rFonts w:ascii="Times New Roman" w:hAnsi="Times New Roman" w:cs="Times New Roman"/>
          <w:b/>
          <w:sz w:val="28"/>
          <w:szCs w:val="24"/>
        </w:rPr>
      </w:pPr>
    </w:p>
    <w:p w:rsidR="00B8592C" w:rsidRDefault="00B8592C" w:rsidP="00B8592C">
      <w:pPr>
        <w:spacing w:line="360" w:lineRule="auto"/>
        <w:jc w:val="both"/>
        <w:rPr>
          <w:rFonts w:ascii="Times New Roman" w:hAnsi="Times New Roman" w:cs="Times New Roman"/>
          <w:b/>
          <w:sz w:val="28"/>
          <w:szCs w:val="24"/>
        </w:rPr>
      </w:pPr>
    </w:p>
    <w:p w:rsidR="00B8592C" w:rsidRDefault="00B8592C" w:rsidP="00B8592C">
      <w:pPr>
        <w:spacing w:line="360" w:lineRule="auto"/>
        <w:jc w:val="both"/>
        <w:rPr>
          <w:rFonts w:ascii="Times New Roman" w:hAnsi="Times New Roman" w:cs="Times New Roman"/>
          <w:b/>
          <w:sz w:val="28"/>
          <w:szCs w:val="24"/>
        </w:rPr>
      </w:pPr>
    </w:p>
    <w:p w:rsidR="00B8592C" w:rsidRDefault="00B8592C" w:rsidP="00B8592C">
      <w:pPr>
        <w:spacing w:line="360" w:lineRule="auto"/>
        <w:jc w:val="both"/>
        <w:rPr>
          <w:rFonts w:ascii="Times New Roman" w:hAnsi="Times New Roman" w:cs="Times New Roman"/>
          <w:b/>
          <w:sz w:val="28"/>
          <w:szCs w:val="24"/>
        </w:rPr>
      </w:pPr>
    </w:p>
    <w:p w:rsidR="00B8592C" w:rsidRDefault="00B8592C" w:rsidP="00B8592C">
      <w:pPr>
        <w:spacing w:line="360" w:lineRule="auto"/>
        <w:jc w:val="both"/>
        <w:rPr>
          <w:rFonts w:ascii="Times New Roman" w:hAnsi="Times New Roman" w:cs="Times New Roman"/>
          <w:b/>
          <w:sz w:val="28"/>
          <w:szCs w:val="24"/>
        </w:rPr>
      </w:pPr>
    </w:p>
    <w:p w:rsidR="00B8592C" w:rsidRDefault="00B8592C" w:rsidP="00B8592C">
      <w:pPr>
        <w:spacing w:line="360" w:lineRule="auto"/>
        <w:jc w:val="both"/>
        <w:rPr>
          <w:rFonts w:ascii="Times New Roman" w:hAnsi="Times New Roman" w:cs="Times New Roman"/>
          <w:b/>
          <w:sz w:val="28"/>
          <w:szCs w:val="24"/>
        </w:rPr>
      </w:pPr>
    </w:p>
    <w:p w:rsidR="00B8592C" w:rsidRDefault="00B8592C" w:rsidP="00B8592C">
      <w:pPr>
        <w:spacing w:line="360" w:lineRule="auto"/>
        <w:jc w:val="both"/>
        <w:rPr>
          <w:rFonts w:ascii="Times New Roman" w:hAnsi="Times New Roman" w:cs="Times New Roman"/>
          <w:b/>
          <w:sz w:val="28"/>
          <w:szCs w:val="24"/>
        </w:rPr>
      </w:pPr>
    </w:p>
    <w:p w:rsidR="00B8592C" w:rsidRDefault="00B8592C" w:rsidP="00B8592C">
      <w:pPr>
        <w:spacing w:line="360" w:lineRule="auto"/>
        <w:jc w:val="both"/>
        <w:rPr>
          <w:rFonts w:ascii="Times New Roman" w:hAnsi="Times New Roman" w:cs="Times New Roman"/>
          <w:b/>
          <w:sz w:val="28"/>
          <w:szCs w:val="24"/>
        </w:rPr>
      </w:pPr>
    </w:p>
    <w:p w:rsidR="00B8592C" w:rsidRDefault="00B8592C" w:rsidP="00B8592C">
      <w:pPr>
        <w:spacing w:line="360" w:lineRule="auto"/>
        <w:jc w:val="both"/>
        <w:rPr>
          <w:rFonts w:ascii="Times New Roman" w:hAnsi="Times New Roman" w:cs="Times New Roman"/>
          <w:b/>
          <w:sz w:val="28"/>
          <w:szCs w:val="24"/>
        </w:rPr>
      </w:pPr>
    </w:p>
    <w:p w:rsidR="00B8592C" w:rsidRDefault="00B8592C" w:rsidP="00B8592C">
      <w:pPr>
        <w:spacing w:line="360" w:lineRule="auto"/>
        <w:jc w:val="both"/>
        <w:rPr>
          <w:rFonts w:ascii="Times New Roman" w:hAnsi="Times New Roman" w:cs="Times New Roman"/>
          <w:b/>
          <w:sz w:val="28"/>
          <w:szCs w:val="24"/>
        </w:rPr>
      </w:pPr>
    </w:p>
    <w:p w:rsidR="00B8592C" w:rsidRDefault="00B8592C" w:rsidP="00B8592C">
      <w:pPr>
        <w:spacing w:line="360" w:lineRule="auto"/>
        <w:jc w:val="both"/>
        <w:rPr>
          <w:rFonts w:ascii="Times New Roman" w:hAnsi="Times New Roman" w:cs="Times New Roman"/>
          <w:sz w:val="24"/>
        </w:rPr>
      </w:pPr>
      <w:r>
        <w:rPr>
          <w:rFonts w:ascii="Times New Roman" w:hAnsi="Times New Roman" w:cs="Times New Roman"/>
          <w:b/>
          <w:sz w:val="28"/>
        </w:rPr>
        <w:lastRenderedPageBreak/>
        <w:t xml:space="preserve">5.2. Recommendations:  </w:t>
      </w:r>
    </w:p>
    <w:p w:rsidR="00B8592C" w:rsidRDefault="00B8592C" w:rsidP="00B8592C">
      <w:pPr>
        <w:spacing w:line="360" w:lineRule="auto"/>
        <w:jc w:val="both"/>
        <w:rPr>
          <w:rFonts w:ascii="Times New Roman" w:hAnsi="Times New Roman" w:cs="Times New Roman"/>
          <w:sz w:val="24"/>
        </w:rPr>
      </w:pPr>
      <w:r>
        <w:rPr>
          <w:rFonts w:ascii="Times New Roman" w:hAnsi="Times New Roman" w:cs="Times New Roman"/>
          <w:sz w:val="24"/>
        </w:rPr>
        <w:t>From the present studies, the following recommendations have emerged:</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Government should carefully monitor and supervised the green banking practices in Bangladesh.</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Bangladesh Bank must monitor the adherence of green banking guidelines by the commercial and non-commercial banks.</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Coordination among concerned authorities.</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Apply quantitative approach for environmental risk rating.</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Shifting different categories of industry (such as, garments, textiles, and tannery) to a proper location.</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Carbon footprint reduction by saving energy and paper.</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Carbon footprint reduction by the offering transportation services for their employee.</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Providing environment friendly rewards to customers.</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By financing more and more environment friendly projects.</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 xml:space="preserve">Employee needs training to obtain knowledge regarding various green banking practices.  </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 xml:space="preserve">Awareness of top management.   </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Encouraging borrowers to go green.</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Need to apply green banking and use environmental risk management (ERM) guideline in efficient manner.</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Develop a cultural within the organization based on environmental governance.</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Promoting different forms of electronic banking.</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Share knowledge and technical know-how with peer groups.</w:t>
      </w:r>
    </w:p>
    <w:p w:rsidR="00B8592C" w:rsidRDefault="00B8592C" w:rsidP="00B8592C">
      <w:pPr>
        <w:pStyle w:val="ListParagraph"/>
        <w:numPr>
          <w:ilvl w:val="0"/>
          <w:numId w:val="12"/>
        </w:numPr>
        <w:spacing w:line="360" w:lineRule="auto"/>
        <w:contextualSpacing w:val="0"/>
        <w:jc w:val="both"/>
        <w:rPr>
          <w:rFonts w:ascii="Times New Roman" w:hAnsi="Times New Roman" w:cs="Times New Roman"/>
          <w:sz w:val="24"/>
        </w:rPr>
      </w:pPr>
      <w:r>
        <w:rPr>
          <w:rFonts w:ascii="Times New Roman" w:hAnsi="Times New Roman" w:cs="Times New Roman"/>
          <w:sz w:val="24"/>
        </w:rPr>
        <w:t>Further integration with credit risk management in the overall credit risk methodology.</w:t>
      </w:r>
    </w:p>
    <w:p w:rsidR="00B8592C" w:rsidRPr="00253B9A" w:rsidRDefault="00B8592C" w:rsidP="00B8592C">
      <w:pPr>
        <w:spacing w:line="360" w:lineRule="auto"/>
        <w:jc w:val="both"/>
        <w:rPr>
          <w:rFonts w:ascii="Times New Roman" w:hAnsi="Times New Roman" w:cs="Times New Roman"/>
          <w:sz w:val="24"/>
        </w:rPr>
      </w:pPr>
      <w:r w:rsidRPr="00253B9A">
        <w:rPr>
          <w:rFonts w:ascii="Times New Roman" w:hAnsi="Times New Roman" w:cs="Times New Roman"/>
          <w:b/>
          <w:sz w:val="28"/>
        </w:rPr>
        <w:lastRenderedPageBreak/>
        <w:t xml:space="preserve">5.3. Conclusion:   </w:t>
      </w:r>
    </w:p>
    <w:p w:rsidR="00B8592C" w:rsidRPr="00D63FEB" w:rsidRDefault="00B8592C" w:rsidP="00B8592C">
      <w:pPr>
        <w:spacing w:line="360" w:lineRule="auto"/>
        <w:jc w:val="both"/>
        <w:rPr>
          <w:rFonts w:ascii="Times New Roman" w:hAnsi="Times New Roman" w:cs="Times New Roman"/>
          <w:sz w:val="24"/>
        </w:rPr>
      </w:pPr>
      <w:r>
        <w:rPr>
          <w:rFonts w:ascii="Times New Roman" w:hAnsi="Times New Roman" w:cs="Times New Roman"/>
          <w:sz w:val="24"/>
        </w:rPr>
        <w:t>Bangladesh is one of the most climate changes vulnerable countries to climate change in the world. From the overall discussion, it can be said that green financing in Bangladesh is growing at positive trend. In line with global development and in response to the global warming it is not in a satisfactory level. Already, Bangladesh Bank emphasizes the significance of green investment activities. The finding shows the upward trend how a bank is going to be green. The in-house practices can give a dramatically changes to the financial sector. Since all the industry are moving keeping hand to hand with banks, the flow of the financing to the working capital investment and project investment will affect positively for eco-supportive product innovation, and by this way the green-house gas emission, as well as the air, water, sound pollution will be decreased in a higher range within a shortest possible of time. The environment is comprised of people, trees, animals, birds etc. Every living being has the right onto the environment. We the human cannot ruin all the creatures of the world. The exchanges of commodity established the relation among the living entity and the medium of exchanges is money. So, financial sector is the root of human strength and only financial sector play the most contributory role for the development of economy as well as society. That’s why the innovation of green banking is one of the paths following which all the countries can go for sustainable development. The trend also shows that. After all, green banking is the banking for green revolution accepted by the world leading, developed, and developing as well as least and under developed countries. The recommendations construed here will be effective when they are followed by the national and international financial bodies, which will revive the forestation and enough oxygen for the living being. So, “Go Green”.</w:t>
      </w:r>
    </w:p>
    <w:p w:rsidR="00B8592C" w:rsidRDefault="00B8592C" w:rsidP="00B8592C">
      <w:pPr>
        <w:jc w:val="both"/>
        <w:rPr>
          <w:rFonts w:ascii="Times New Roman" w:hAnsi="Times New Roman" w:cs="Times New Roman"/>
          <w:sz w:val="24"/>
          <w:szCs w:val="24"/>
        </w:rPr>
      </w:pPr>
    </w:p>
    <w:p w:rsidR="00B8592C" w:rsidRDefault="00B8592C" w:rsidP="00B8592C">
      <w:pPr>
        <w:jc w:val="both"/>
        <w:rPr>
          <w:rFonts w:ascii="Times New Roman" w:hAnsi="Times New Roman" w:cs="Times New Roman"/>
          <w:sz w:val="24"/>
          <w:szCs w:val="24"/>
        </w:rPr>
      </w:pPr>
    </w:p>
    <w:p w:rsidR="00B8592C" w:rsidRDefault="00B8592C" w:rsidP="00B8592C">
      <w:pPr>
        <w:jc w:val="both"/>
        <w:rPr>
          <w:rFonts w:ascii="Times New Roman" w:hAnsi="Times New Roman" w:cs="Times New Roman"/>
          <w:sz w:val="24"/>
          <w:szCs w:val="24"/>
        </w:rPr>
      </w:pPr>
    </w:p>
    <w:p w:rsidR="00B8592C" w:rsidRDefault="00B8592C" w:rsidP="00B8592C">
      <w:pPr>
        <w:jc w:val="both"/>
        <w:rPr>
          <w:rFonts w:ascii="Times New Roman" w:hAnsi="Times New Roman" w:cs="Times New Roman"/>
          <w:sz w:val="24"/>
          <w:szCs w:val="24"/>
        </w:rPr>
      </w:pPr>
    </w:p>
    <w:p w:rsidR="00B8592C" w:rsidRDefault="00B8592C" w:rsidP="00B8592C">
      <w:pPr>
        <w:jc w:val="both"/>
        <w:rPr>
          <w:rFonts w:ascii="Times New Roman" w:hAnsi="Times New Roman" w:cs="Times New Roman"/>
          <w:sz w:val="24"/>
          <w:szCs w:val="24"/>
        </w:rPr>
      </w:pPr>
    </w:p>
    <w:p w:rsidR="00B8592C" w:rsidRDefault="00B8592C" w:rsidP="00B8592C">
      <w:pPr>
        <w:jc w:val="both"/>
        <w:rPr>
          <w:rFonts w:ascii="Times New Roman" w:hAnsi="Times New Roman" w:cs="Times New Roman"/>
          <w:sz w:val="24"/>
          <w:szCs w:val="24"/>
        </w:rPr>
      </w:pPr>
    </w:p>
    <w:p w:rsidR="00B8592C" w:rsidRDefault="00B8592C" w:rsidP="00B8592C">
      <w:pPr>
        <w:jc w:val="both"/>
        <w:rPr>
          <w:rFonts w:ascii="Times New Roman" w:hAnsi="Times New Roman" w:cs="Times New Roman"/>
          <w:sz w:val="24"/>
          <w:szCs w:val="24"/>
        </w:rPr>
      </w:pPr>
    </w:p>
    <w:p w:rsidR="00B8592C" w:rsidRDefault="00B8592C" w:rsidP="00B8592C">
      <w:pPr>
        <w:jc w:val="center"/>
        <w:rPr>
          <w:rFonts w:ascii="Times New Roman" w:hAnsi="Times New Roman" w:cs="Times New Roman"/>
          <w:sz w:val="24"/>
          <w:szCs w:val="24"/>
        </w:rPr>
      </w:pPr>
    </w:p>
    <w:p w:rsidR="00B8592C" w:rsidRPr="0038593E" w:rsidRDefault="00B8592C" w:rsidP="00B8592C">
      <w:pPr>
        <w:jc w:val="center"/>
        <w:rPr>
          <w:rFonts w:ascii="Times New Roman" w:eastAsia="Times New Roman" w:hAnsi="Times New Roman" w:cs="Times New Roman"/>
          <w:b/>
          <w:color w:val="000000"/>
          <w:sz w:val="28"/>
          <w:szCs w:val="28"/>
          <w:u w:val="double"/>
        </w:rPr>
      </w:pPr>
      <w:r w:rsidRPr="0038593E">
        <w:rPr>
          <w:rFonts w:ascii="Times New Roman" w:eastAsia="Times New Roman" w:hAnsi="Times New Roman" w:cs="Times New Roman"/>
          <w:b/>
          <w:color w:val="000000"/>
          <w:sz w:val="28"/>
          <w:szCs w:val="28"/>
          <w:u w:val="double"/>
        </w:rPr>
        <w:lastRenderedPageBreak/>
        <w:t>Bibliography:</w:t>
      </w:r>
    </w:p>
    <w:p w:rsidR="00B8592C" w:rsidRPr="00C70DA2" w:rsidRDefault="00B8592C" w:rsidP="00B8592C">
      <w:pPr>
        <w:rPr>
          <w:rFonts w:ascii="Times New Roman" w:eastAsia="Times New Roman" w:hAnsi="Times New Roman" w:cs="Times New Roman"/>
          <w:b/>
          <w:color w:val="000000"/>
          <w:sz w:val="24"/>
          <w:szCs w:val="24"/>
        </w:rPr>
      </w:pPr>
      <w:r w:rsidRPr="00C70DA2">
        <w:rPr>
          <w:rFonts w:ascii="Times New Roman" w:eastAsia="Times New Roman" w:hAnsi="Times New Roman" w:cs="Times New Roman"/>
          <w:b/>
          <w:color w:val="000000"/>
          <w:sz w:val="24"/>
          <w:szCs w:val="24"/>
        </w:rPr>
        <w:t>Web References:</w:t>
      </w:r>
    </w:p>
    <w:p w:rsidR="00B8592C" w:rsidRDefault="00B8592C" w:rsidP="00B8592C">
      <w:pPr>
        <w:pStyle w:val="ListParagraph"/>
        <w:numPr>
          <w:ilvl w:val="0"/>
          <w:numId w:val="10"/>
        </w:numPr>
        <w:rPr>
          <w:rFonts w:ascii="Times New Roman" w:hAnsi="Times New Roman" w:cs="Times New Roman"/>
          <w:sz w:val="24"/>
          <w:szCs w:val="24"/>
        </w:rPr>
      </w:pPr>
      <w:r w:rsidRPr="00A83D19">
        <w:rPr>
          <w:rFonts w:ascii="Times New Roman" w:hAnsi="Times New Roman" w:cs="Times New Roman"/>
          <w:sz w:val="24"/>
        </w:rPr>
        <w:t>Bangladesh Bank Official Website</w:t>
      </w:r>
      <w:r w:rsidRPr="00A83D19">
        <w:rPr>
          <w:sz w:val="24"/>
        </w:rPr>
        <w:t xml:space="preserve"> </w:t>
      </w:r>
      <w:hyperlink r:id="rId44" w:history="1">
        <w:r w:rsidRPr="00207CBA">
          <w:rPr>
            <w:rStyle w:val="Hyperlink"/>
            <w:sz w:val="24"/>
          </w:rPr>
          <w:t>www.bb.org.bd</w:t>
        </w:r>
      </w:hyperlink>
    </w:p>
    <w:p w:rsidR="00B8592C" w:rsidRDefault="00B8592C" w:rsidP="00B8592C">
      <w:pPr>
        <w:pStyle w:val="ListParagraph"/>
        <w:numPr>
          <w:ilvl w:val="0"/>
          <w:numId w:val="10"/>
        </w:numPr>
        <w:rPr>
          <w:rFonts w:ascii="Times New Roman" w:hAnsi="Times New Roman" w:cs="Times New Roman"/>
          <w:sz w:val="24"/>
          <w:szCs w:val="24"/>
        </w:rPr>
      </w:pPr>
      <w:hyperlink r:id="rId45" w:history="1">
        <w:r w:rsidRPr="00207CBA">
          <w:rPr>
            <w:rStyle w:val="Hyperlink"/>
            <w:sz w:val="24"/>
          </w:rPr>
          <w:t>www.print.thefinancialexpress-bd.com</w:t>
        </w:r>
      </w:hyperlink>
    </w:p>
    <w:p w:rsidR="00B8592C" w:rsidRDefault="00B8592C" w:rsidP="00B8592C">
      <w:pPr>
        <w:pStyle w:val="ListParagraph"/>
        <w:numPr>
          <w:ilvl w:val="0"/>
          <w:numId w:val="10"/>
        </w:numPr>
        <w:rPr>
          <w:rFonts w:ascii="Times New Roman" w:hAnsi="Times New Roman" w:cs="Times New Roman"/>
          <w:sz w:val="24"/>
          <w:szCs w:val="24"/>
        </w:rPr>
      </w:pPr>
      <w:r w:rsidRPr="009A40D0">
        <w:t xml:space="preserve"> </w:t>
      </w:r>
      <w:r w:rsidRPr="009A40D0">
        <w:rPr>
          <w:rFonts w:ascii="Times New Roman" w:hAnsi="Times New Roman" w:cs="Times New Roman"/>
          <w:sz w:val="24"/>
          <w:szCs w:val="24"/>
        </w:rPr>
        <w:t>afnanhossain.weebly.com</w:t>
      </w:r>
    </w:p>
    <w:p w:rsidR="00B8592C" w:rsidRDefault="00B8592C" w:rsidP="00B8592C">
      <w:pPr>
        <w:pStyle w:val="ListParagraph"/>
        <w:numPr>
          <w:ilvl w:val="0"/>
          <w:numId w:val="10"/>
        </w:numPr>
        <w:rPr>
          <w:rFonts w:ascii="Times New Roman" w:hAnsi="Times New Roman" w:cs="Times New Roman"/>
          <w:sz w:val="24"/>
          <w:szCs w:val="24"/>
        </w:rPr>
      </w:pPr>
      <w:hyperlink r:id="rId46" w:history="1">
        <w:r w:rsidRPr="00207CBA">
          <w:rPr>
            <w:rStyle w:val="Hyperlink"/>
            <w:sz w:val="24"/>
          </w:rPr>
          <w:t>www.banglajol.info</w:t>
        </w:r>
      </w:hyperlink>
    </w:p>
    <w:p w:rsidR="00B8592C" w:rsidRDefault="00B8592C" w:rsidP="00B8592C">
      <w:pPr>
        <w:pStyle w:val="ListParagraph"/>
        <w:numPr>
          <w:ilvl w:val="0"/>
          <w:numId w:val="10"/>
        </w:numPr>
        <w:rPr>
          <w:rFonts w:ascii="Times New Roman" w:hAnsi="Times New Roman" w:cs="Times New Roman"/>
          <w:sz w:val="24"/>
          <w:szCs w:val="24"/>
        </w:rPr>
      </w:pPr>
      <w:hyperlink r:id="rId47" w:history="1">
        <w:r w:rsidRPr="00207CBA">
          <w:rPr>
            <w:rStyle w:val="Hyperlink"/>
            <w:sz w:val="24"/>
          </w:rPr>
          <w:t>www.iosrjournals.org</w:t>
        </w:r>
      </w:hyperlink>
    </w:p>
    <w:p w:rsidR="00B8592C" w:rsidRDefault="00B8592C" w:rsidP="00B8592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m.wikipedia.org</w:t>
      </w: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Pr="00DC2552" w:rsidRDefault="00B8592C" w:rsidP="00B8592C">
      <w:pPr>
        <w:rPr>
          <w:rFonts w:ascii="Times New Roman" w:hAnsi="Times New Roman" w:cs="Times New Roman"/>
          <w:sz w:val="24"/>
          <w:szCs w:val="24"/>
        </w:rPr>
      </w:pPr>
    </w:p>
    <w:p w:rsidR="00B8592C" w:rsidRPr="00DC2552" w:rsidRDefault="00B8592C" w:rsidP="00B8592C">
      <w:pPr>
        <w:rPr>
          <w:rFonts w:ascii="Times New Roman" w:hAnsi="Times New Roman" w:cs="Times New Roman"/>
          <w:sz w:val="24"/>
          <w:szCs w:val="24"/>
        </w:rPr>
      </w:pPr>
    </w:p>
    <w:p w:rsidR="00B8592C" w:rsidRDefault="00B8592C" w:rsidP="00B8592C">
      <w:pPr>
        <w:pStyle w:val="ListParagraph"/>
        <w:rPr>
          <w:rFonts w:ascii="Times New Roman" w:hAnsi="Times New Roman" w:cs="Times New Roman"/>
          <w:sz w:val="24"/>
          <w:szCs w:val="24"/>
        </w:rPr>
      </w:pPr>
    </w:p>
    <w:p w:rsidR="00B8592C" w:rsidRPr="00DA534F" w:rsidRDefault="00B8592C" w:rsidP="00B8592C">
      <w:pPr>
        <w:pStyle w:val="ListParagraph"/>
        <w:rPr>
          <w:rFonts w:ascii="Times New Roman" w:hAnsi="Times New Roman" w:cs="Times New Roman"/>
          <w:sz w:val="24"/>
          <w:szCs w:val="24"/>
        </w:rPr>
      </w:pPr>
    </w:p>
    <w:p w:rsidR="00B8592C" w:rsidRDefault="00B8592C" w:rsidP="00B8592C">
      <w:pPr>
        <w:spacing w:line="360" w:lineRule="auto"/>
        <w:jc w:val="both"/>
        <w:rPr>
          <w:rFonts w:ascii="Times New Roman" w:eastAsia="Calibri" w:hAnsi="Times New Roman" w:cs="Times New Roman"/>
          <w:sz w:val="24"/>
        </w:rPr>
      </w:pPr>
    </w:p>
    <w:p w:rsidR="00B8592C" w:rsidRPr="00B8592C" w:rsidRDefault="00B8592C" w:rsidP="00B8592C">
      <w:pPr>
        <w:spacing w:line="360" w:lineRule="auto"/>
        <w:jc w:val="both"/>
        <w:rPr>
          <w:rFonts w:ascii="Times New Roman" w:eastAsia="Calibri" w:hAnsi="Times New Roman" w:cs="Times New Roman"/>
          <w:sz w:val="24"/>
        </w:rPr>
      </w:pPr>
      <w:bookmarkStart w:id="0" w:name="_GoBack"/>
      <w:bookmarkEnd w:id="0"/>
    </w:p>
    <w:sectPr w:rsidR="00B8592C" w:rsidRPr="00B8592C" w:rsidSect="009C5526">
      <w:pgSz w:w="11907" w:h="16839" w:code="9"/>
      <w:pgMar w:top="1440" w:right="1440" w:bottom="1440" w:left="1440" w:header="720" w:footer="720" w:gutter="0"/>
      <w:pgNumType w:fmt="upp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983" w:rsidRDefault="00494983" w:rsidP="00CC203F">
      <w:pPr>
        <w:spacing w:after="0" w:line="240" w:lineRule="auto"/>
      </w:pPr>
      <w:r>
        <w:separator/>
      </w:r>
    </w:p>
  </w:endnote>
  <w:endnote w:type="continuationSeparator" w:id="0">
    <w:p w:rsidR="00494983" w:rsidRDefault="00494983" w:rsidP="00CC2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983" w:rsidRDefault="00494983" w:rsidP="00CC203F">
      <w:pPr>
        <w:spacing w:after="0" w:line="240" w:lineRule="auto"/>
      </w:pPr>
      <w:r>
        <w:separator/>
      </w:r>
    </w:p>
  </w:footnote>
  <w:footnote w:type="continuationSeparator" w:id="0">
    <w:p w:rsidR="00494983" w:rsidRDefault="00494983" w:rsidP="00CC20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32FB765C"/>
    <w:multiLevelType w:val="hybridMultilevel"/>
    <w:tmpl w:val="F3C69F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C12F9"/>
    <w:multiLevelType w:val="hybridMultilevel"/>
    <w:tmpl w:val="714A82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840915"/>
    <w:multiLevelType w:val="hybridMultilevel"/>
    <w:tmpl w:val="3B4053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B80639"/>
    <w:multiLevelType w:val="hybridMultilevel"/>
    <w:tmpl w:val="605E8F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7E695B"/>
    <w:multiLevelType w:val="hybridMultilevel"/>
    <w:tmpl w:val="6F5A6266"/>
    <w:lvl w:ilvl="0" w:tplc="D108B6B2">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ED5253"/>
    <w:multiLevelType w:val="hybridMultilevel"/>
    <w:tmpl w:val="BB8432FC"/>
    <w:lvl w:ilvl="0" w:tplc="AC6AEC32">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54A63B31"/>
    <w:multiLevelType w:val="hybridMultilevel"/>
    <w:tmpl w:val="43AA287E"/>
    <w:lvl w:ilvl="0" w:tplc="04090005">
      <w:start w:val="1"/>
      <w:numFmt w:val="bullet"/>
      <w:lvlText w:val=""/>
      <w:lvlJc w:val="left"/>
      <w:pPr>
        <w:ind w:left="1440" w:hanging="360"/>
      </w:pPr>
      <w:rPr>
        <w:rFonts w:ascii="Wingdings" w:hAnsi="Wingding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56E7204"/>
    <w:multiLevelType w:val="multilevel"/>
    <w:tmpl w:val="00000000"/>
    <w:lvl w:ilvl="0">
      <w:start w:val="1"/>
      <w:numFmt w:val="bullet"/>
      <w:lvlText w:val=""/>
      <w:lvlJc w:val="left"/>
      <w:pPr>
        <w:ind w:left="720" w:hanging="360"/>
      </w:pPr>
      <w:rPr>
        <w:rFonts w:ascii="Wingdings" w:hAnsi="Wingding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65E57BC"/>
    <w:multiLevelType w:val="multilevel"/>
    <w:tmpl w:val="3634EF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BEF4ADE"/>
    <w:multiLevelType w:val="hybridMultilevel"/>
    <w:tmpl w:val="64ACB4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4"/>
  </w:num>
  <w:num w:numId="7">
    <w:abstractNumId w:val="7"/>
  </w:num>
  <w:num w:numId="8">
    <w:abstractNumId w:val="2"/>
  </w:num>
  <w:num w:numId="9">
    <w:abstractNumId w:val="1"/>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7629"/>
    <w:rsid w:val="00015317"/>
    <w:rsid w:val="00016E0A"/>
    <w:rsid w:val="00040160"/>
    <w:rsid w:val="00057FA2"/>
    <w:rsid w:val="000609FD"/>
    <w:rsid w:val="000A578F"/>
    <w:rsid w:val="000C00C9"/>
    <w:rsid w:val="000C2EED"/>
    <w:rsid w:val="000E17FD"/>
    <w:rsid w:val="000E69BA"/>
    <w:rsid w:val="000F2A3D"/>
    <w:rsid w:val="00100FF4"/>
    <w:rsid w:val="00117358"/>
    <w:rsid w:val="00124957"/>
    <w:rsid w:val="00171E9A"/>
    <w:rsid w:val="0019230C"/>
    <w:rsid w:val="00204422"/>
    <w:rsid w:val="002267B9"/>
    <w:rsid w:val="00262300"/>
    <w:rsid w:val="00290E13"/>
    <w:rsid w:val="00294338"/>
    <w:rsid w:val="002A48BD"/>
    <w:rsid w:val="00321A50"/>
    <w:rsid w:val="00331122"/>
    <w:rsid w:val="003328F9"/>
    <w:rsid w:val="003571D7"/>
    <w:rsid w:val="003818BD"/>
    <w:rsid w:val="003C28CC"/>
    <w:rsid w:val="003E56CC"/>
    <w:rsid w:val="0041050E"/>
    <w:rsid w:val="00422021"/>
    <w:rsid w:val="00464736"/>
    <w:rsid w:val="00493B7E"/>
    <w:rsid w:val="00494983"/>
    <w:rsid w:val="004D78FA"/>
    <w:rsid w:val="004E098B"/>
    <w:rsid w:val="0053532A"/>
    <w:rsid w:val="00536FE9"/>
    <w:rsid w:val="00551662"/>
    <w:rsid w:val="0059552D"/>
    <w:rsid w:val="005B20AD"/>
    <w:rsid w:val="005C0265"/>
    <w:rsid w:val="005C3894"/>
    <w:rsid w:val="005C590A"/>
    <w:rsid w:val="005F354B"/>
    <w:rsid w:val="00622C21"/>
    <w:rsid w:val="006363CA"/>
    <w:rsid w:val="006626E0"/>
    <w:rsid w:val="00663C57"/>
    <w:rsid w:val="00663C6F"/>
    <w:rsid w:val="006A0D12"/>
    <w:rsid w:val="006C2AC3"/>
    <w:rsid w:val="006D321C"/>
    <w:rsid w:val="00717369"/>
    <w:rsid w:val="00725FAA"/>
    <w:rsid w:val="00742BDB"/>
    <w:rsid w:val="00746AB3"/>
    <w:rsid w:val="0075486E"/>
    <w:rsid w:val="007633F7"/>
    <w:rsid w:val="007760E2"/>
    <w:rsid w:val="007824BF"/>
    <w:rsid w:val="007C345A"/>
    <w:rsid w:val="007D3536"/>
    <w:rsid w:val="007D3851"/>
    <w:rsid w:val="007F102B"/>
    <w:rsid w:val="00801BB3"/>
    <w:rsid w:val="008251C5"/>
    <w:rsid w:val="008327AE"/>
    <w:rsid w:val="0088541D"/>
    <w:rsid w:val="008A123C"/>
    <w:rsid w:val="008A1D81"/>
    <w:rsid w:val="008A60F4"/>
    <w:rsid w:val="008D1594"/>
    <w:rsid w:val="008D7E85"/>
    <w:rsid w:val="008E3FAA"/>
    <w:rsid w:val="008F15FD"/>
    <w:rsid w:val="008F17C5"/>
    <w:rsid w:val="00907A86"/>
    <w:rsid w:val="009111DE"/>
    <w:rsid w:val="00911E26"/>
    <w:rsid w:val="0094167A"/>
    <w:rsid w:val="00967CBC"/>
    <w:rsid w:val="0099391F"/>
    <w:rsid w:val="009C5526"/>
    <w:rsid w:val="009F50E8"/>
    <w:rsid w:val="00A23036"/>
    <w:rsid w:val="00A43DAD"/>
    <w:rsid w:val="00A55137"/>
    <w:rsid w:val="00A5681C"/>
    <w:rsid w:val="00A5742D"/>
    <w:rsid w:val="00A96003"/>
    <w:rsid w:val="00AA621C"/>
    <w:rsid w:val="00AB2C21"/>
    <w:rsid w:val="00AF2E96"/>
    <w:rsid w:val="00B0100E"/>
    <w:rsid w:val="00B025AC"/>
    <w:rsid w:val="00B23466"/>
    <w:rsid w:val="00B23C5B"/>
    <w:rsid w:val="00B365F1"/>
    <w:rsid w:val="00B43786"/>
    <w:rsid w:val="00B476D8"/>
    <w:rsid w:val="00B51AF0"/>
    <w:rsid w:val="00B6162A"/>
    <w:rsid w:val="00B8592C"/>
    <w:rsid w:val="00B87629"/>
    <w:rsid w:val="00BD2521"/>
    <w:rsid w:val="00BD5047"/>
    <w:rsid w:val="00C506E0"/>
    <w:rsid w:val="00C522E4"/>
    <w:rsid w:val="00C766EC"/>
    <w:rsid w:val="00C77AED"/>
    <w:rsid w:val="00CB4F82"/>
    <w:rsid w:val="00CC203F"/>
    <w:rsid w:val="00CE5D5F"/>
    <w:rsid w:val="00CF7225"/>
    <w:rsid w:val="00CF7A1B"/>
    <w:rsid w:val="00D04C9F"/>
    <w:rsid w:val="00D453CD"/>
    <w:rsid w:val="00D616E0"/>
    <w:rsid w:val="00D7143E"/>
    <w:rsid w:val="00D7515D"/>
    <w:rsid w:val="00D94922"/>
    <w:rsid w:val="00DA3660"/>
    <w:rsid w:val="00DA3DAE"/>
    <w:rsid w:val="00DC2368"/>
    <w:rsid w:val="00DD0273"/>
    <w:rsid w:val="00E05CA5"/>
    <w:rsid w:val="00E802CE"/>
    <w:rsid w:val="00EA26FE"/>
    <w:rsid w:val="00EC5CC0"/>
    <w:rsid w:val="00ED511A"/>
    <w:rsid w:val="00F22DE4"/>
    <w:rsid w:val="00F97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26"/>
        <o:r id="V:Rule3"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03F"/>
  </w:style>
  <w:style w:type="paragraph" w:styleId="Footer">
    <w:name w:val="footer"/>
    <w:basedOn w:val="Normal"/>
    <w:link w:val="FooterChar"/>
    <w:uiPriority w:val="99"/>
    <w:unhideWhenUsed/>
    <w:rsid w:val="00CC2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03F"/>
  </w:style>
  <w:style w:type="paragraph" w:styleId="BodyText">
    <w:name w:val="Body Text"/>
    <w:basedOn w:val="Normal"/>
    <w:link w:val="BodyTextChar"/>
    <w:semiHidden/>
    <w:unhideWhenUsed/>
    <w:rsid w:val="00717369"/>
    <w:pPr>
      <w:spacing w:before="120" w:after="120" w:line="36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717369"/>
    <w:rPr>
      <w:rFonts w:ascii="Times New Roman" w:eastAsia="Times New Roman" w:hAnsi="Times New Roman" w:cs="Times New Roman"/>
      <w:sz w:val="28"/>
      <w:szCs w:val="24"/>
    </w:rPr>
  </w:style>
  <w:style w:type="table" w:styleId="MediumGrid3-Accent1">
    <w:name w:val="Medium Grid 3 Accent 1"/>
    <w:basedOn w:val="TableNormal"/>
    <w:uiPriority w:val="69"/>
    <w:rsid w:val="00742BDB"/>
    <w:pPr>
      <w:spacing w:after="0" w:line="240" w:lineRule="auto"/>
    </w:pPr>
    <w:rPr>
      <w:rFonts w:ascii="Times New Roman" w:eastAsiaTheme="minorEastAsia" w:hAnsi="Times New Roman" w:cs="Times New Roman"/>
      <w:sz w:val="24"/>
      <w:szCs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Paragraph">
    <w:name w:val="List Paragraph"/>
    <w:basedOn w:val="Normal"/>
    <w:uiPriority w:val="34"/>
    <w:qFormat/>
    <w:rsid w:val="00742BDB"/>
    <w:pPr>
      <w:ind w:left="720"/>
      <w:contextualSpacing/>
    </w:pPr>
  </w:style>
  <w:style w:type="table" w:styleId="TableGrid">
    <w:name w:val="Table Grid"/>
    <w:basedOn w:val="TableNormal"/>
    <w:uiPriority w:val="59"/>
    <w:rsid w:val="00B365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Grid-Accent1">
    <w:name w:val="Colorful Grid Accent 1"/>
    <w:basedOn w:val="TableNormal"/>
    <w:uiPriority w:val="73"/>
    <w:rsid w:val="004D78F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9F50E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1">
    <w:name w:val="Medium Grid 1 Accent 1"/>
    <w:basedOn w:val="TableNormal"/>
    <w:uiPriority w:val="67"/>
    <w:rsid w:val="008D159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B8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92C"/>
    <w:rPr>
      <w:rFonts w:ascii="Tahoma" w:hAnsi="Tahoma" w:cs="Tahoma"/>
      <w:sz w:val="16"/>
      <w:szCs w:val="16"/>
    </w:rPr>
  </w:style>
  <w:style w:type="table" w:customStyle="1" w:styleId="MediumGrid3-Accent11">
    <w:name w:val="Medium Grid 3 - Accent 11"/>
    <w:basedOn w:val="TableNormal"/>
    <w:next w:val="MediumGrid3-Accent1"/>
    <w:uiPriority w:val="69"/>
    <w:rsid w:val="00B8592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Grid-Accent5">
    <w:name w:val="Light Grid Accent 5"/>
    <w:basedOn w:val="TableNormal"/>
    <w:uiPriority w:val="62"/>
    <w:rsid w:val="00B8592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11">
    <w:name w:val="Light Grid - Accent 11"/>
    <w:basedOn w:val="TableNormal"/>
    <w:uiPriority w:val="62"/>
    <w:rsid w:val="00B8592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8592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B8592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Grid3-Accent12">
    <w:name w:val="Medium Grid 3 - Accent 12"/>
    <w:basedOn w:val="TableNormal"/>
    <w:next w:val="MediumGrid3-Accent1"/>
    <w:uiPriority w:val="69"/>
    <w:rsid w:val="00B8592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13">
    <w:name w:val="Medium Grid 3 - Accent 13"/>
    <w:basedOn w:val="TableNormal"/>
    <w:next w:val="MediumGrid3-Accent1"/>
    <w:uiPriority w:val="69"/>
    <w:rsid w:val="00B8592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4">
    <w:name w:val="Medium Grid 3 Accent 4"/>
    <w:basedOn w:val="TableNormal"/>
    <w:uiPriority w:val="69"/>
    <w:rsid w:val="00B8592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8592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B8592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Hyperlink">
    <w:name w:val="Hyperlink"/>
    <w:basedOn w:val="DefaultParagraphFont"/>
    <w:uiPriority w:val="99"/>
    <w:unhideWhenUsed/>
    <w:rsid w:val="00B859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8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chart" Target="charts/chart10.xml"/><Relationship Id="rId3" Type="http://schemas.microsoft.com/office/2007/relationships/stylesWithEffects" Target="stylesWithEffects.xml"/><Relationship Id="rId21" Type="http://schemas.openxmlformats.org/officeDocument/2006/relationships/diagramLayout" Target="diagrams/layout3.xml"/><Relationship Id="rId34" Type="http://schemas.openxmlformats.org/officeDocument/2006/relationships/chart" Target="charts/chart5.xml"/><Relationship Id="rId42" Type="http://schemas.openxmlformats.org/officeDocument/2006/relationships/chart" Target="charts/chart13.xml"/><Relationship Id="rId47" Type="http://schemas.openxmlformats.org/officeDocument/2006/relationships/hyperlink" Target="http://www.iosrjournals.org"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chart" Target="charts/chart4.xml"/><Relationship Id="rId38" Type="http://schemas.openxmlformats.org/officeDocument/2006/relationships/chart" Target="charts/chart9.xml"/><Relationship Id="rId46" Type="http://schemas.openxmlformats.org/officeDocument/2006/relationships/hyperlink" Target="http://www.banglajol.info" TargetMode="Externa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chart" Target="charts/chart3.xml"/><Relationship Id="rId37" Type="http://schemas.openxmlformats.org/officeDocument/2006/relationships/chart" Target="charts/chart8.xml"/><Relationship Id="rId40" Type="http://schemas.openxmlformats.org/officeDocument/2006/relationships/chart" Target="charts/chart11.xml"/><Relationship Id="rId45" Type="http://schemas.openxmlformats.org/officeDocument/2006/relationships/hyperlink" Target="http://www.print.thefinancialexpress-bd.com" TargetMode="Externa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chart" Target="charts/chart7.xml"/><Relationship Id="rId49"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chart" Target="charts/chart2.xml"/><Relationship Id="rId44" Type="http://schemas.openxmlformats.org/officeDocument/2006/relationships/hyperlink" Target="http://www.bb.org.bd"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chart" Target="charts/chart1.xml"/><Relationship Id="rId35" Type="http://schemas.openxmlformats.org/officeDocument/2006/relationships/chart" Target="charts/chart6.xml"/><Relationship Id="rId43" Type="http://schemas.openxmlformats.org/officeDocument/2006/relationships/chart" Target="charts/chart14.xml"/><Relationship Id="rId48" Type="http://schemas.openxmlformats.org/officeDocument/2006/relationships/fontTable" Target="fontTable.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Direct Green Finance</a:t>
            </a:r>
          </a:p>
        </c:rich>
      </c:tx>
      <c:overlay val="0"/>
    </c:title>
    <c:autoTitleDeleted val="0"/>
    <c:view3D>
      <c:rotX val="15"/>
      <c:rotY val="20"/>
      <c:rAngAx val="1"/>
    </c:view3D>
    <c:floor>
      <c:thickness val="0"/>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floor>
    <c:sideWall>
      <c:thickness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ideWall>
    <c:backWall>
      <c:thickness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backWall>
    <c:plotArea>
      <c:layout/>
      <c:bar3DChart>
        <c:barDir val="col"/>
        <c:grouping val="clustered"/>
        <c:varyColors val="0"/>
        <c:ser>
          <c:idx val="0"/>
          <c:order val="0"/>
          <c:tx>
            <c:strRef>
              <c:f>Sheet1!$B$1</c:f>
              <c:strCache>
                <c:ptCount val="1"/>
                <c:pt idx="0">
                  <c:v>SCBs</c:v>
                </c:pt>
              </c:strCache>
            </c:strRef>
          </c:tx>
          <c:invertIfNegative val="0"/>
          <c:cat>
            <c:numRef>
              <c:f>Sheet1!$A$2:$A$5</c:f>
              <c:numCache>
                <c:formatCode>General</c:formatCode>
                <c:ptCount val="4"/>
                <c:pt idx="0">
                  <c:v>2012</c:v>
                </c:pt>
                <c:pt idx="1">
                  <c:v>2013</c:v>
                </c:pt>
                <c:pt idx="2">
                  <c:v>2014</c:v>
                </c:pt>
                <c:pt idx="3">
                  <c:v>2015</c:v>
                </c:pt>
              </c:numCache>
            </c:numRef>
          </c:cat>
          <c:val>
            <c:numRef>
              <c:f>Sheet1!$B$2:$B$5</c:f>
              <c:numCache>
                <c:formatCode>General</c:formatCode>
                <c:ptCount val="4"/>
                <c:pt idx="0">
                  <c:v>3513.1</c:v>
                </c:pt>
                <c:pt idx="1">
                  <c:v>2136.8300000000022</c:v>
                </c:pt>
                <c:pt idx="2">
                  <c:v>2398.69</c:v>
                </c:pt>
                <c:pt idx="3">
                  <c:v>2233.65</c:v>
                </c:pt>
              </c:numCache>
            </c:numRef>
          </c:val>
        </c:ser>
        <c:ser>
          <c:idx val="1"/>
          <c:order val="1"/>
          <c:tx>
            <c:strRef>
              <c:f>Sheet1!$C$1</c:f>
              <c:strCache>
                <c:ptCount val="1"/>
                <c:pt idx="0">
                  <c:v>PCBs</c:v>
                </c:pt>
              </c:strCache>
            </c:strRef>
          </c:tx>
          <c:invertIfNegative val="0"/>
          <c:cat>
            <c:numRef>
              <c:f>Sheet1!$A$2:$A$5</c:f>
              <c:numCache>
                <c:formatCode>General</c:formatCode>
                <c:ptCount val="4"/>
                <c:pt idx="0">
                  <c:v>2012</c:v>
                </c:pt>
                <c:pt idx="1">
                  <c:v>2013</c:v>
                </c:pt>
                <c:pt idx="2">
                  <c:v>2014</c:v>
                </c:pt>
                <c:pt idx="3">
                  <c:v>2015</c:v>
                </c:pt>
              </c:numCache>
            </c:numRef>
          </c:cat>
          <c:val>
            <c:numRef>
              <c:f>Sheet1!$C$2:$C$5</c:f>
              <c:numCache>
                <c:formatCode>General</c:formatCode>
                <c:ptCount val="4"/>
                <c:pt idx="0">
                  <c:v>5623.74</c:v>
                </c:pt>
                <c:pt idx="1">
                  <c:v>26565.52</c:v>
                </c:pt>
                <c:pt idx="2">
                  <c:v>16861.400000000001</c:v>
                </c:pt>
                <c:pt idx="3">
                  <c:v>12423.2</c:v>
                </c:pt>
              </c:numCache>
            </c:numRef>
          </c:val>
        </c:ser>
        <c:ser>
          <c:idx val="2"/>
          <c:order val="2"/>
          <c:tx>
            <c:strRef>
              <c:f>Sheet1!$D$1</c:f>
              <c:strCache>
                <c:ptCount val="1"/>
                <c:pt idx="0">
                  <c:v>FCBs</c:v>
                </c:pt>
              </c:strCache>
            </c:strRef>
          </c:tx>
          <c:invertIfNegative val="0"/>
          <c:cat>
            <c:numRef>
              <c:f>Sheet1!$A$2:$A$5</c:f>
              <c:numCache>
                <c:formatCode>General</c:formatCode>
                <c:ptCount val="4"/>
                <c:pt idx="0">
                  <c:v>2012</c:v>
                </c:pt>
                <c:pt idx="1">
                  <c:v>2013</c:v>
                </c:pt>
                <c:pt idx="2">
                  <c:v>2014</c:v>
                </c:pt>
                <c:pt idx="3">
                  <c:v>2015</c:v>
                </c:pt>
              </c:numCache>
            </c:numRef>
          </c:cat>
          <c:val>
            <c:numRef>
              <c:f>Sheet1!$D$2:$D$5</c:f>
              <c:numCache>
                <c:formatCode>General</c:formatCode>
                <c:ptCount val="4"/>
                <c:pt idx="0">
                  <c:v>881.28000000000054</c:v>
                </c:pt>
                <c:pt idx="1">
                  <c:v>715.32999999999947</c:v>
                </c:pt>
                <c:pt idx="2">
                  <c:v>12230.2</c:v>
                </c:pt>
                <c:pt idx="3">
                  <c:v>976.52</c:v>
                </c:pt>
              </c:numCache>
            </c:numRef>
          </c:val>
        </c:ser>
        <c:ser>
          <c:idx val="3"/>
          <c:order val="3"/>
          <c:tx>
            <c:strRef>
              <c:f>Sheet1!$E$1</c:f>
              <c:strCache>
                <c:ptCount val="1"/>
                <c:pt idx="0">
                  <c:v>SDBs</c:v>
                </c:pt>
              </c:strCache>
            </c:strRef>
          </c:tx>
          <c:invertIfNegative val="0"/>
          <c:cat>
            <c:numRef>
              <c:f>Sheet1!$A$2:$A$5</c:f>
              <c:numCache>
                <c:formatCode>General</c:formatCode>
                <c:ptCount val="4"/>
                <c:pt idx="0">
                  <c:v>2012</c:v>
                </c:pt>
                <c:pt idx="1">
                  <c:v>2013</c:v>
                </c:pt>
                <c:pt idx="2">
                  <c:v>2014</c:v>
                </c:pt>
                <c:pt idx="3">
                  <c:v>2015</c:v>
                </c:pt>
              </c:numCache>
            </c:numRef>
          </c:cat>
          <c:val>
            <c:numRef>
              <c:f>Sheet1!$E$2:$E$5</c:f>
              <c:numCache>
                <c:formatCode>General</c:formatCode>
                <c:ptCount val="4"/>
                <c:pt idx="0">
                  <c:v>1803.36</c:v>
                </c:pt>
                <c:pt idx="1">
                  <c:v>264.95</c:v>
                </c:pt>
                <c:pt idx="2">
                  <c:v>174.59</c:v>
                </c:pt>
                <c:pt idx="3">
                  <c:v>13.6</c:v>
                </c:pt>
              </c:numCache>
            </c:numRef>
          </c:val>
        </c:ser>
        <c:dLbls>
          <c:showLegendKey val="0"/>
          <c:showVal val="0"/>
          <c:showCatName val="0"/>
          <c:showSerName val="0"/>
          <c:showPercent val="0"/>
          <c:showBubbleSize val="0"/>
        </c:dLbls>
        <c:gapWidth val="150"/>
        <c:shape val="box"/>
        <c:axId val="221185536"/>
        <c:axId val="221187072"/>
        <c:axId val="0"/>
      </c:bar3DChart>
      <c:catAx>
        <c:axId val="221185536"/>
        <c:scaling>
          <c:orientation val="minMax"/>
        </c:scaling>
        <c:delete val="0"/>
        <c:axPos val="b"/>
        <c:numFmt formatCode="General" sourceLinked="1"/>
        <c:majorTickMark val="none"/>
        <c:minorTickMark val="none"/>
        <c:tickLblPos val="nextTo"/>
        <c:crossAx val="221187072"/>
        <c:crosses val="autoZero"/>
        <c:auto val="1"/>
        <c:lblAlgn val="ctr"/>
        <c:lblOffset val="100"/>
        <c:noMultiLvlLbl val="0"/>
      </c:catAx>
      <c:valAx>
        <c:axId val="221187072"/>
        <c:scaling>
          <c:orientation val="minMax"/>
        </c:scaling>
        <c:delete val="0"/>
        <c:axPos val="l"/>
        <c:majorGridlines/>
        <c:title>
          <c:tx>
            <c:rich>
              <a:bodyPr/>
              <a:lstStyle/>
              <a:p>
                <a:pPr>
                  <a:defRPr/>
                </a:pPr>
                <a:r>
                  <a:rPr lang="en-US"/>
                  <a:t>in million Tk.</a:t>
                </a:r>
              </a:p>
            </c:rich>
          </c:tx>
          <c:layout>
            <c:manualLayout>
              <c:xMode val="edge"/>
              <c:yMode val="edge"/>
              <c:x val="5.0868944161825573E-2"/>
              <c:y val="0.38336293133470878"/>
            </c:manualLayout>
          </c:layout>
          <c:overlay val="0"/>
        </c:title>
        <c:numFmt formatCode="General" sourceLinked="1"/>
        <c:majorTickMark val="none"/>
        <c:minorTickMark val="none"/>
        <c:tickLblPos val="nextTo"/>
        <c:crossAx val="221185536"/>
        <c:crosses val="autoZero"/>
        <c:crossBetween val="between"/>
      </c:valAx>
      <c:dTable>
        <c:showHorzBorder val="1"/>
        <c:showVertBorder val="1"/>
        <c:showOutline val="1"/>
        <c:showKeys val="1"/>
      </c:dTable>
    </c:plotArea>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Numbers of projects rated</c:v>
                </c:pt>
              </c:strCache>
            </c:strRef>
          </c:tx>
          <c:invertIfNegative val="0"/>
          <c:cat>
            <c:numRef>
              <c:f>Sheet1!$A$2:$A$3</c:f>
              <c:numCache>
                <c:formatCode>General</c:formatCode>
                <c:ptCount val="2"/>
                <c:pt idx="0">
                  <c:v>2013</c:v>
                </c:pt>
                <c:pt idx="1">
                  <c:v>2014</c:v>
                </c:pt>
              </c:numCache>
            </c:numRef>
          </c:cat>
          <c:val>
            <c:numRef>
              <c:f>Sheet1!$B$2:$B$3</c:f>
              <c:numCache>
                <c:formatCode>General</c:formatCode>
                <c:ptCount val="2"/>
                <c:pt idx="0">
                  <c:v>32125</c:v>
                </c:pt>
                <c:pt idx="1">
                  <c:v>39841</c:v>
                </c:pt>
              </c:numCache>
            </c:numRef>
          </c:val>
        </c:ser>
        <c:ser>
          <c:idx val="1"/>
          <c:order val="1"/>
          <c:tx>
            <c:strRef>
              <c:f>Sheet1!$C$1</c:f>
              <c:strCache>
                <c:ptCount val="1"/>
                <c:pt idx="0">
                  <c:v>No. of projects financed after rating </c:v>
                </c:pt>
              </c:strCache>
            </c:strRef>
          </c:tx>
          <c:invertIfNegative val="0"/>
          <c:cat>
            <c:numRef>
              <c:f>Sheet1!$A$2:$A$3</c:f>
              <c:numCache>
                <c:formatCode>General</c:formatCode>
                <c:ptCount val="2"/>
                <c:pt idx="0">
                  <c:v>2013</c:v>
                </c:pt>
                <c:pt idx="1">
                  <c:v>2014</c:v>
                </c:pt>
              </c:numCache>
            </c:numRef>
          </c:cat>
          <c:val>
            <c:numRef>
              <c:f>Sheet1!$C$2:$C$3</c:f>
              <c:numCache>
                <c:formatCode>General</c:formatCode>
                <c:ptCount val="2"/>
                <c:pt idx="0">
                  <c:v>28545</c:v>
                </c:pt>
                <c:pt idx="1">
                  <c:v>32738</c:v>
                </c:pt>
              </c:numCache>
            </c:numRef>
          </c:val>
        </c:ser>
        <c:dLbls>
          <c:showLegendKey val="0"/>
          <c:showVal val="0"/>
          <c:showCatName val="0"/>
          <c:showSerName val="0"/>
          <c:showPercent val="0"/>
          <c:showBubbleSize val="0"/>
        </c:dLbls>
        <c:gapWidth val="150"/>
        <c:axId val="336293248"/>
        <c:axId val="336327808"/>
      </c:barChart>
      <c:catAx>
        <c:axId val="336293248"/>
        <c:scaling>
          <c:orientation val="minMax"/>
        </c:scaling>
        <c:delete val="0"/>
        <c:axPos val="b"/>
        <c:numFmt formatCode="General" sourceLinked="1"/>
        <c:majorTickMark val="out"/>
        <c:minorTickMark val="none"/>
        <c:tickLblPos val="nextTo"/>
        <c:crossAx val="336327808"/>
        <c:crosses val="autoZero"/>
        <c:auto val="1"/>
        <c:lblAlgn val="ctr"/>
        <c:lblOffset val="100"/>
        <c:noMultiLvlLbl val="0"/>
      </c:catAx>
      <c:valAx>
        <c:axId val="336327808"/>
        <c:scaling>
          <c:orientation val="minMax"/>
        </c:scaling>
        <c:delete val="0"/>
        <c:axPos val="l"/>
        <c:majorGridlines/>
        <c:numFmt formatCode="General" sourceLinked="1"/>
        <c:majorTickMark val="out"/>
        <c:minorTickMark val="none"/>
        <c:tickLblPos val="nextTo"/>
        <c:crossAx val="336293248"/>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Amount disbursed to the rated projects</a:t>
            </a:r>
          </a:p>
        </c:rich>
      </c:tx>
      <c:overlay val="0"/>
    </c:title>
    <c:autoTitleDeleted val="0"/>
    <c:plotArea>
      <c:layout/>
      <c:barChart>
        <c:barDir val="col"/>
        <c:grouping val="clustered"/>
        <c:varyColors val="0"/>
        <c:ser>
          <c:idx val="0"/>
          <c:order val="0"/>
          <c:tx>
            <c:strRef>
              <c:f>Sheet1!$B$1</c:f>
              <c:strCache>
                <c:ptCount val="1"/>
                <c:pt idx="0">
                  <c:v>Amount disbursed to the rated projects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invertIfNegative val="0"/>
          <c:dPt>
            <c:idx val="0"/>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dPt>
          <c:cat>
            <c:numRef>
              <c:f>Sheet1!$A$2:$A$3</c:f>
              <c:numCache>
                <c:formatCode>General</c:formatCode>
                <c:ptCount val="2"/>
                <c:pt idx="0">
                  <c:v>2014</c:v>
                </c:pt>
                <c:pt idx="1">
                  <c:v>2015</c:v>
                </c:pt>
              </c:numCache>
            </c:numRef>
          </c:cat>
          <c:val>
            <c:numRef>
              <c:f>Sheet1!$B$2:$B$3</c:f>
              <c:numCache>
                <c:formatCode>General</c:formatCode>
                <c:ptCount val="2"/>
                <c:pt idx="0">
                  <c:v>1482265.6300000001</c:v>
                </c:pt>
                <c:pt idx="1">
                  <c:v>1199456.1200000001</c:v>
                </c:pt>
              </c:numCache>
            </c:numRef>
          </c:val>
        </c:ser>
        <c:dLbls>
          <c:showLegendKey val="0"/>
          <c:showVal val="0"/>
          <c:showCatName val="0"/>
          <c:showSerName val="0"/>
          <c:showPercent val="0"/>
          <c:showBubbleSize val="0"/>
        </c:dLbls>
        <c:gapWidth val="150"/>
        <c:axId val="336155776"/>
        <c:axId val="336157312"/>
      </c:barChart>
      <c:catAx>
        <c:axId val="336155776"/>
        <c:scaling>
          <c:orientation val="minMax"/>
        </c:scaling>
        <c:delete val="0"/>
        <c:axPos val="b"/>
        <c:numFmt formatCode="General" sourceLinked="1"/>
        <c:majorTickMark val="out"/>
        <c:minorTickMark val="none"/>
        <c:tickLblPos val="nextTo"/>
        <c:crossAx val="336157312"/>
        <c:crosses val="autoZero"/>
        <c:auto val="1"/>
        <c:lblAlgn val="ctr"/>
        <c:lblOffset val="100"/>
        <c:noMultiLvlLbl val="0"/>
      </c:catAx>
      <c:valAx>
        <c:axId val="336157312"/>
        <c:scaling>
          <c:orientation val="minMax"/>
        </c:scaling>
        <c:delete val="0"/>
        <c:axPos val="l"/>
        <c:majorGridlines/>
        <c:numFmt formatCode="General" sourceLinked="1"/>
        <c:majorTickMark val="out"/>
        <c:minorTickMark val="none"/>
        <c:tickLblPos val="nextTo"/>
        <c:crossAx val="336155776"/>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Numbers of projects rated</c:v>
                </c:pt>
              </c:strCache>
            </c:strRef>
          </c:tx>
          <c:invertIfNegative val="0"/>
          <c:cat>
            <c:numRef>
              <c:f>Sheet1!$A$2:$A$3</c:f>
              <c:numCache>
                <c:formatCode>General</c:formatCode>
                <c:ptCount val="2"/>
                <c:pt idx="0">
                  <c:v>2014</c:v>
                </c:pt>
                <c:pt idx="1">
                  <c:v>2015</c:v>
                </c:pt>
              </c:numCache>
            </c:numRef>
          </c:cat>
          <c:val>
            <c:numRef>
              <c:f>Sheet1!$B$2:$B$3</c:f>
              <c:numCache>
                <c:formatCode>General</c:formatCode>
                <c:ptCount val="2"/>
                <c:pt idx="0">
                  <c:v>38589</c:v>
                </c:pt>
                <c:pt idx="1">
                  <c:v>41073</c:v>
                </c:pt>
              </c:numCache>
            </c:numRef>
          </c:val>
        </c:ser>
        <c:ser>
          <c:idx val="1"/>
          <c:order val="1"/>
          <c:tx>
            <c:strRef>
              <c:f>Sheet1!$C$1</c:f>
              <c:strCache>
                <c:ptCount val="1"/>
                <c:pt idx="0">
                  <c:v>No. of projects financed after rating </c:v>
                </c:pt>
              </c:strCache>
            </c:strRef>
          </c:tx>
          <c:invertIfNegative val="0"/>
          <c:cat>
            <c:numRef>
              <c:f>Sheet1!$A$2:$A$3</c:f>
              <c:numCache>
                <c:formatCode>General</c:formatCode>
                <c:ptCount val="2"/>
                <c:pt idx="0">
                  <c:v>2014</c:v>
                </c:pt>
                <c:pt idx="1">
                  <c:v>2015</c:v>
                </c:pt>
              </c:numCache>
            </c:numRef>
          </c:cat>
          <c:val>
            <c:numRef>
              <c:f>Sheet1!$C$2:$C$3</c:f>
              <c:numCache>
                <c:formatCode>General</c:formatCode>
                <c:ptCount val="2"/>
                <c:pt idx="0">
                  <c:v>31583</c:v>
                </c:pt>
                <c:pt idx="1">
                  <c:v>33201</c:v>
                </c:pt>
              </c:numCache>
            </c:numRef>
          </c:val>
        </c:ser>
        <c:dLbls>
          <c:showLegendKey val="0"/>
          <c:showVal val="0"/>
          <c:showCatName val="0"/>
          <c:showSerName val="0"/>
          <c:showPercent val="0"/>
          <c:showBubbleSize val="0"/>
        </c:dLbls>
        <c:gapWidth val="150"/>
        <c:axId val="336419840"/>
        <c:axId val="336425728"/>
      </c:barChart>
      <c:catAx>
        <c:axId val="336419840"/>
        <c:scaling>
          <c:orientation val="minMax"/>
        </c:scaling>
        <c:delete val="0"/>
        <c:axPos val="b"/>
        <c:numFmt formatCode="General" sourceLinked="1"/>
        <c:majorTickMark val="out"/>
        <c:minorTickMark val="none"/>
        <c:tickLblPos val="nextTo"/>
        <c:crossAx val="336425728"/>
        <c:crosses val="autoZero"/>
        <c:auto val="1"/>
        <c:lblAlgn val="ctr"/>
        <c:lblOffset val="100"/>
        <c:noMultiLvlLbl val="0"/>
      </c:catAx>
      <c:valAx>
        <c:axId val="336425728"/>
        <c:scaling>
          <c:orientation val="minMax"/>
        </c:scaling>
        <c:delete val="0"/>
        <c:axPos val="l"/>
        <c:majorGridlines/>
        <c:numFmt formatCode="General" sourceLinked="1"/>
        <c:majorTickMark val="out"/>
        <c:minorTickMark val="none"/>
        <c:tickLblPos val="nextTo"/>
        <c:crossAx val="336419840"/>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Solar Irrigation Pump</c:v>
                </c:pt>
              </c:strCache>
            </c:strRef>
          </c:tx>
          <c:invertIfNegative val="0"/>
          <c:cat>
            <c:numRef>
              <c:f>Sheet1!$A$2:$A$4</c:f>
              <c:numCache>
                <c:formatCode>General</c:formatCode>
                <c:ptCount val="3"/>
                <c:pt idx="0">
                  <c:v>2012</c:v>
                </c:pt>
                <c:pt idx="1">
                  <c:v>2014</c:v>
                </c:pt>
                <c:pt idx="2">
                  <c:v>2015</c:v>
                </c:pt>
              </c:numCache>
            </c:numRef>
          </c:cat>
          <c:val>
            <c:numRef>
              <c:f>Sheet1!$B$2:$B$4</c:f>
              <c:numCache>
                <c:formatCode>General</c:formatCode>
                <c:ptCount val="3"/>
                <c:pt idx="0">
                  <c:v>23.9</c:v>
                </c:pt>
                <c:pt idx="1">
                  <c:v>26.5</c:v>
                </c:pt>
                <c:pt idx="2">
                  <c:v>0.60000000000000064</c:v>
                </c:pt>
              </c:numCache>
            </c:numRef>
          </c:val>
        </c:ser>
        <c:ser>
          <c:idx val="1"/>
          <c:order val="1"/>
          <c:tx>
            <c:strRef>
              <c:f>Sheet1!$C$1</c:f>
              <c:strCache>
                <c:ptCount val="1"/>
                <c:pt idx="0">
                  <c:v>Solar Home Sysytem</c:v>
                </c:pt>
              </c:strCache>
            </c:strRef>
          </c:tx>
          <c:invertIfNegative val="0"/>
          <c:cat>
            <c:numRef>
              <c:f>Sheet1!$A$2:$A$4</c:f>
              <c:numCache>
                <c:formatCode>General</c:formatCode>
                <c:ptCount val="3"/>
                <c:pt idx="0">
                  <c:v>2012</c:v>
                </c:pt>
                <c:pt idx="1">
                  <c:v>2014</c:v>
                </c:pt>
                <c:pt idx="2">
                  <c:v>2015</c:v>
                </c:pt>
              </c:numCache>
            </c:numRef>
          </c:cat>
          <c:val>
            <c:numRef>
              <c:f>Sheet1!$C$2:$C$4</c:f>
              <c:numCache>
                <c:formatCode>General</c:formatCode>
                <c:ptCount val="3"/>
                <c:pt idx="0">
                  <c:v>102.84</c:v>
                </c:pt>
                <c:pt idx="1">
                  <c:v>26.51</c:v>
                </c:pt>
                <c:pt idx="2">
                  <c:v>74.679999999999978</c:v>
                </c:pt>
              </c:numCache>
            </c:numRef>
          </c:val>
        </c:ser>
        <c:ser>
          <c:idx val="2"/>
          <c:order val="2"/>
          <c:tx>
            <c:strRef>
              <c:f>Sheet1!$D$1</c:f>
              <c:strCache>
                <c:ptCount val="1"/>
                <c:pt idx="0">
                  <c:v>Bio gas Plant</c:v>
                </c:pt>
              </c:strCache>
            </c:strRef>
          </c:tx>
          <c:invertIfNegative val="0"/>
          <c:cat>
            <c:numRef>
              <c:f>Sheet1!$A$2:$A$4</c:f>
              <c:numCache>
                <c:formatCode>General</c:formatCode>
                <c:ptCount val="3"/>
                <c:pt idx="0">
                  <c:v>2012</c:v>
                </c:pt>
                <c:pt idx="1">
                  <c:v>2014</c:v>
                </c:pt>
                <c:pt idx="2">
                  <c:v>2015</c:v>
                </c:pt>
              </c:numCache>
            </c:numRef>
          </c:cat>
          <c:val>
            <c:numRef>
              <c:f>Sheet1!$D$2:$D$4</c:f>
              <c:numCache>
                <c:formatCode>General</c:formatCode>
                <c:ptCount val="3"/>
                <c:pt idx="0">
                  <c:v>262.7</c:v>
                </c:pt>
                <c:pt idx="1">
                  <c:v>56.55</c:v>
                </c:pt>
                <c:pt idx="2">
                  <c:v>63.32</c:v>
                </c:pt>
              </c:numCache>
            </c:numRef>
          </c:val>
        </c:ser>
        <c:ser>
          <c:idx val="3"/>
          <c:order val="3"/>
          <c:tx>
            <c:strRef>
              <c:f>Sheet1!$E$1</c:f>
              <c:strCache>
                <c:ptCount val="1"/>
                <c:pt idx="0">
                  <c:v>Effluent Treatment Plant</c:v>
                </c:pt>
              </c:strCache>
            </c:strRef>
          </c:tx>
          <c:invertIfNegative val="0"/>
          <c:cat>
            <c:numRef>
              <c:f>Sheet1!$A$2:$A$4</c:f>
              <c:numCache>
                <c:formatCode>General</c:formatCode>
                <c:ptCount val="3"/>
                <c:pt idx="0">
                  <c:v>2012</c:v>
                </c:pt>
                <c:pt idx="1">
                  <c:v>2014</c:v>
                </c:pt>
                <c:pt idx="2">
                  <c:v>2015</c:v>
                </c:pt>
              </c:numCache>
            </c:numRef>
          </c:cat>
          <c:val>
            <c:numRef>
              <c:f>Sheet1!$E$2:$E$4</c:f>
              <c:numCache>
                <c:formatCode>General</c:formatCode>
                <c:ptCount val="3"/>
                <c:pt idx="0">
                  <c:v>90.4</c:v>
                </c:pt>
                <c:pt idx="2">
                  <c:v>6.4</c:v>
                </c:pt>
              </c:numCache>
            </c:numRef>
          </c:val>
        </c:ser>
        <c:ser>
          <c:idx val="4"/>
          <c:order val="4"/>
          <c:tx>
            <c:strRef>
              <c:f>Sheet1!$F$1</c:f>
              <c:strCache>
                <c:ptCount val="1"/>
                <c:pt idx="0">
                  <c:v>Hybrid Hoffman Kiln</c:v>
                </c:pt>
              </c:strCache>
            </c:strRef>
          </c:tx>
          <c:invertIfNegative val="0"/>
          <c:cat>
            <c:numRef>
              <c:f>Sheet1!$A$2:$A$4</c:f>
              <c:numCache>
                <c:formatCode>General</c:formatCode>
                <c:ptCount val="3"/>
                <c:pt idx="0">
                  <c:v>2012</c:v>
                </c:pt>
                <c:pt idx="1">
                  <c:v>2014</c:v>
                </c:pt>
                <c:pt idx="2">
                  <c:v>2015</c:v>
                </c:pt>
              </c:numCache>
            </c:numRef>
          </c:cat>
          <c:val>
            <c:numRef>
              <c:f>Sheet1!$F$2:$F$4</c:f>
              <c:numCache>
                <c:formatCode>General</c:formatCode>
                <c:ptCount val="3"/>
                <c:pt idx="0">
                  <c:v>124.8</c:v>
                </c:pt>
                <c:pt idx="2">
                  <c:v>18.32</c:v>
                </c:pt>
              </c:numCache>
            </c:numRef>
          </c:val>
        </c:ser>
        <c:ser>
          <c:idx val="5"/>
          <c:order val="5"/>
          <c:tx>
            <c:strRef>
              <c:f>Sheet1!$G$1</c:f>
              <c:strCache>
                <c:ptCount val="1"/>
                <c:pt idx="0">
                  <c:v>Solar PV module assembling Plant</c:v>
                </c:pt>
              </c:strCache>
            </c:strRef>
          </c:tx>
          <c:invertIfNegative val="0"/>
          <c:cat>
            <c:numRef>
              <c:f>Sheet1!$A$2:$A$4</c:f>
              <c:numCache>
                <c:formatCode>General</c:formatCode>
                <c:ptCount val="3"/>
                <c:pt idx="0">
                  <c:v>2012</c:v>
                </c:pt>
                <c:pt idx="1">
                  <c:v>2014</c:v>
                </c:pt>
                <c:pt idx="2">
                  <c:v>2015</c:v>
                </c:pt>
              </c:numCache>
            </c:numRef>
          </c:cat>
          <c:val>
            <c:numRef>
              <c:f>Sheet1!$G$2:$G$4</c:f>
              <c:numCache>
                <c:formatCode>General</c:formatCode>
                <c:ptCount val="3"/>
                <c:pt idx="0">
                  <c:v>248.8</c:v>
                </c:pt>
                <c:pt idx="2">
                  <c:v>164.43</c:v>
                </c:pt>
              </c:numCache>
            </c:numRef>
          </c:val>
        </c:ser>
        <c:ser>
          <c:idx val="6"/>
          <c:order val="6"/>
          <c:tx>
            <c:strRef>
              <c:f>Sheet1!$H$1</c:f>
              <c:strCache>
                <c:ptCount val="1"/>
                <c:pt idx="0">
                  <c:v>Tunnel Kiln</c:v>
                </c:pt>
              </c:strCache>
            </c:strRef>
          </c:tx>
          <c:invertIfNegative val="0"/>
          <c:cat>
            <c:numRef>
              <c:f>Sheet1!$A$2:$A$4</c:f>
              <c:numCache>
                <c:formatCode>General</c:formatCode>
                <c:ptCount val="3"/>
                <c:pt idx="0">
                  <c:v>2012</c:v>
                </c:pt>
                <c:pt idx="1">
                  <c:v>2014</c:v>
                </c:pt>
                <c:pt idx="2">
                  <c:v>2015</c:v>
                </c:pt>
              </c:numCache>
            </c:numRef>
          </c:cat>
          <c:val>
            <c:numRef>
              <c:f>Sheet1!$H$2:$H$4</c:f>
              <c:numCache>
                <c:formatCode>General</c:formatCode>
                <c:ptCount val="3"/>
              </c:numCache>
            </c:numRef>
          </c:val>
        </c:ser>
        <c:ser>
          <c:idx val="7"/>
          <c:order val="7"/>
          <c:tx>
            <c:strRef>
              <c:f>Sheet1!$I$1</c:f>
              <c:strCache>
                <c:ptCount val="1"/>
                <c:pt idx="0">
                  <c:v>Vermicompost</c:v>
                </c:pt>
              </c:strCache>
            </c:strRef>
          </c:tx>
          <c:invertIfNegative val="0"/>
          <c:cat>
            <c:numRef>
              <c:f>Sheet1!$A$2:$A$4</c:f>
              <c:numCache>
                <c:formatCode>General</c:formatCode>
                <c:ptCount val="3"/>
                <c:pt idx="0">
                  <c:v>2012</c:v>
                </c:pt>
                <c:pt idx="1">
                  <c:v>2014</c:v>
                </c:pt>
                <c:pt idx="2">
                  <c:v>2015</c:v>
                </c:pt>
              </c:numCache>
            </c:numRef>
          </c:cat>
          <c:val>
            <c:numRef>
              <c:f>Sheet1!$I$2:$I$4</c:f>
              <c:numCache>
                <c:formatCode>General</c:formatCode>
                <c:ptCount val="3"/>
                <c:pt idx="1">
                  <c:v>39.5</c:v>
                </c:pt>
                <c:pt idx="2">
                  <c:v>1.26</c:v>
                </c:pt>
              </c:numCache>
            </c:numRef>
          </c:val>
        </c:ser>
        <c:dLbls>
          <c:showLegendKey val="0"/>
          <c:showVal val="0"/>
          <c:showCatName val="0"/>
          <c:showSerName val="0"/>
          <c:showPercent val="0"/>
          <c:showBubbleSize val="0"/>
        </c:dLbls>
        <c:gapWidth val="300"/>
        <c:axId val="496961024"/>
        <c:axId val="496962944"/>
      </c:barChart>
      <c:catAx>
        <c:axId val="496961024"/>
        <c:scaling>
          <c:orientation val="minMax"/>
        </c:scaling>
        <c:delete val="0"/>
        <c:axPos val="b"/>
        <c:title>
          <c:tx>
            <c:rich>
              <a:bodyPr/>
              <a:lstStyle/>
              <a:p>
                <a:pPr>
                  <a:defRPr/>
                </a:pPr>
                <a:r>
                  <a:rPr lang="en-US"/>
                  <a:t>Sectorwise Disbursment of BB</a:t>
                </a:r>
                <a:r>
                  <a:rPr lang="en-US" baseline="0"/>
                  <a:t> Refinance Fund</a:t>
                </a:r>
                <a:endParaRPr lang="en-US"/>
              </a:p>
            </c:rich>
          </c:tx>
          <c:layout>
            <c:manualLayout>
              <c:xMode val="edge"/>
              <c:yMode val="edge"/>
              <c:x val="0.33247951842382362"/>
              <c:y val="0.89601174853143351"/>
            </c:manualLayout>
          </c:layout>
          <c:overlay val="0"/>
        </c:title>
        <c:numFmt formatCode="General" sourceLinked="1"/>
        <c:majorTickMark val="none"/>
        <c:minorTickMark val="none"/>
        <c:tickLblPos val="nextTo"/>
        <c:crossAx val="496962944"/>
        <c:crosses val="autoZero"/>
        <c:auto val="1"/>
        <c:lblAlgn val="ctr"/>
        <c:lblOffset val="100"/>
        <c:noMultiLvlLbl val="0"/>
      </c:catAx>
      <c:valAx>
        <c:axId val="496962944"/>
        <c:scaling>
          <c:orientation val="minMax"/>
        </c:scaling>
        <c:delete val="0"/>
        <c:axPos val="l"/>
        <c:majorGridlines/>
        <c:minorGridlines/>
        <c:title>
          <c:tx>
            <c:rich>
              <a:bodyPr/>
              <a:lstStyle/>
              <a:p>
                <a:pPr>
                  <a:defRPr/>
                </a:pPr>
                <a:r>
                  <a:rPr lang="en-US"/>
                  <a:t>in million Taka</a:t>
                </a:r>
              </a:p>
            </c:rich>
          </c:tx>
          <c:overlay val="0"/>
        </c:title>
        <c:numFmt formatCode="General" sourceLinked="1"/>
        <c:majorTickMark val="out"/>
        <c:minorTickMark val="none"/>
        <c:tickLblPos val="nextTo"/>
        <c:crossAx val="496961024"/>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floor>
    <c:sideWall>
      <c:thickness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ideWall>
    <c:backWall>
      <c:thickness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backWall>
    <c:plotArea>
      <c:layout/>
      <c:bar3DChart>
        <c:barDir val="col"/>
        <c:grouping val="clustered"/>
        <c:varyColors val="0"/>
        <c:ser>
          <c:idx val="0"/>
          <c:order val="0"/>
          <c:tx>
            <c:strRef>
              <c:f>Sheet1!$B$1</c:f>
              <c:strCache>
                <c:ptCount val="1"/>
                <c:pt idx="0">
                  <c:v>SCBs</c:v>
                </c:pt>
              </c:strCache>
            </c:strRef>
          </c:tx>
          <c:invertIfNegative val="0"/>
          <c:cat>
            <c:numRef>
              <c:f>Sheet1!$A$2:$A$5</c:f>
              <c:numCache>
                <c:formatCode>General</c:formatCode>
                <c:ptCount val="4"/>
                <c:pt idx="0">
                  <c:v>2012</c:v>
                </c:pt>
                <c:pt idx="1">
                  <c:v>2013</c:v>
                </c:pt>
                <c:pt idx="2">
                  <c:v>2014</c:v>
                </c:pt>
                <c:pt idx="3">
                  <c:v>2015</c:v>
                </c:pt>
              </c:numCache>
            </c:numRef>
          </c:cat>
          <c:val>
            <c:numRef>
              <c:f>Sheet1!$B$2:$B$5</c:f>
              <c:numCache>
                <c:formatCode>General</c:formatCode>
                <c:ptCount val="4"/>
                <c:pt idx="0">
                  <c:v>6533.21</c:v>
                </c:pt>
                <c:pt idx="1">
                  <c:v>3343.8100000000022</c:v>
                </c:pt>
                <c:pt idx="2">
                  <c:v>5277.72</c:v>
                </c:pt>
                <c:pt idx="3">
                  <c:v>2762.7799999999997</c:v>
                </c:pt>
              </c:numCache>
            </c:numRef>
          </c:val>
        </c:ser>
        <c:ser>
          <c:idx val="1"/>
          <c:order val="1"/>
          <c:tx>
            <c:strRef>
              <c:f>Sheet1!$C$1</c:f>
              <c:strCache>
                <c:ptCount val="1"/>
                <c:pt idx="0">
                  <c:v>PCBs</c:v>
                </c:pt>
              </c:strCache>
            </c:strRef>
          </c:tx>
          <c:invertIfNegative val="0"/>
          <c:cat>
            <c:numRef>
              <c:f>Sheet1!$A$2:$A$5</c:f>
              <c:numCache>
                <c:formatCode>General</c:formatCode>
                <c:ptCount val="4"/>
                <c:pt idx="0">
                  <c:v>2012</c:v>
                </c:pt>
                <c:pt idx="1">
                  <c:v>2013</c:v>
                </c:pt>
                <c:pt idx="2">
                  <c:v>2014</c:v>
                </c:pt>
                <c:pt idx="3">
                  <c:v>2015</c:v>
                </c:pt>
              </c:numCache>
            </c:numRef>
          </c:cat>
          <c:val>
            <c:numRef>
              <c:f>Sheet1!$C$2:$C$5</c:f>
              <c:numCache>
                <c:formatCode>General</c:formatCode>
                <c:ptCount val="4"/>
                <c:pt idx="0">
                  <c:v>179112.58</c:v>
                </c:pt>
                <c:pt idx="1">
                  <c:v>263120.95</c:v>
                </c:pt>
                <c:pt idx="2">
                  <c:v>320978.11</c:v>
                </c:pt>
                <c:pt idx="3">
                  <c:v>244930.55</c:v>
                </c:pt>
              </c:numCache>
            </c:numRef>
          </c:val>
        </c:ser>
        <c:ser>
          <c:idx val="2"/>
          <c:order val="2"/>
          <c:tx>
            <c:strRef>
              <c:f>Sheet1!$D$1</c:f>
              <c:strCache>
                <c:ptCount val="1"/>
                <c:pt idx="0">
                  <c:v>FCBs</c:v>
                </c:pt>
              </c:strCache>
            </c:strRef>
          </c:tx>
          <c:invertIfNegative val="0"/>
          <c:cat>
            <c:numRef>
              <c:f>Sheet1!$A$2:$A$5</c:f>
              <c:numCache>
                <c:formatCode>General</c:formatCode>
                <c:ptCount val="4"/>
                <c:pt idx="0">
                  <c:v>2012</c:v>
                </c:pt>
                <c:pt idx="1">
                  <c:v>2013</c:v>
                </c:pt>
                <c:pt idx="2">
                  <c:v>2014</c:v>
                </c:pt>
                <c:pt idx="3">
                  <c:v>2015</c:v>
                </c:pt>
              </c:numCache>
            </c:numRef>
          </c:cat>
          <c:val>
            <c:numRef>
              <c:f>Sheet1!$D$2:$D$5</c:f>
              <c:numCache>
                <c:formatCode>General</c:formatCode>
                <c:ptCount val="4"/>
                <c:pt idx="0">
                  <c:v>77419.95</c:v>
                </c:pt>
                <c:pt idx="1">
                  <c:v>78754.92</c:v>
                </c:pt>
                <c:pt idx="2">
                  <c:v>87991.1</c:v>
                </c:pt>
                <c:pt idx="3">
                  <c:v>48364.219999999994</c:v>
                </c:pt>
              </c:numCache>
            </c:numRef>
          </c:val>
        </c:ser>
        <c:ser>
          <c:idx val="3"/>
          <c:order val="3"/>
          <c:tx>
            <c:strRef>
              <c:f>Sheet1!$E$1</c:f>
              <c:strCache>
                <c:ptCount val="1"/>
                <c:pt idx="0">
                  <c:v>SDBs</c:v>
                </c:pt>
              </c:strCache>
            </c:strRef>
          </c:tx>
          <c:invertIfNegative val="0"/>
          <c:cat>
            <c:numRef>
              <c:f>Sheet1!$A$2:$A$5</c:f>
              <c:numCache>
                <c:formatCode>General</c:formatCode>
                <c:ptCount val="4"/>
                <c:pt idx="0">
                  <c:v>2012</c:v>
                </c:pt>
                <c:pt idx="1">
                  <c:v>2013</c:v>
                </c:pt>
                <c:pt idx="2">
                  <c:v>2014</c:v>
                </c:pt>
                <c:pt idx="3">
                  <c:v>2015</c:v>
                </c:pt>
              </c:numCache>
            </c:numRef>
          </c:cat>
          <c:val>
            <c:numRef>
              <c:f>Sheet1!$E$2:$E$5</c:f>
              <c:numCache>
                <c:formatCode>General</c:formatCode>
                <c:ptCount val="4"/>
                <c:pt idx="0">
                  <c:v>8205.1</c:v>
                </c:pt>
                <c:pt idx="1">
                  <c:v>3385.23</c:v>
                </c:pt>
                <c:pt idx="2">
                  <c:v>1095.6599999999999</c:v>
                </c:pt>
                <c:pt idx="3">
                  <c:v>13.6</c:v>
                </c:pt>
              </c:numCache>
            </c:numRef>
          </c:val>
        </c:ser>
        <c:dLbls>
          <c:showLegendKey val="0"/>
          <c:showVal val="0"/>
          <c:showCatName val="0"/>
          <c:showSerName val="0"/>
          <c:showPercent val="0"/>
          <c:showBubbleSize val="0"/>
        </c:dLbls>
        <c:gapWidth val="150"/>
        <c:shape val="box"/>
        <c:axId val="497113344"/>
        <c:axId val="497119232"/>
        <c:axId val="0"/>
      </c:bar3DChart>
      <c:catAx>
        <c:axId val="497113344"/>
        <c:scaling>
          <c:orientation val="minMax"/>
        </c:scaling>
        <c:delete val="0"/>
        <c:axPos val="b"/>
        <c:numFmt formatCode="General" sourceLinked="1"/>
        <c:majorTickMark val="none"/>
        <c:minorTickMark val="none"/>
        <c:tickLblPos val="nextTo"/>
        <c:crossAx val="497119232"/>
        <c:crosses val="autoZero"/>
        <c:auto val="1"/>
        <c:lblAlgn val="ctr"/>
        <c:lblOffset val="100"/>
        <c:noMultiLvlLbl val="0"/>
      </c:catAx>
      <c:valAx>
        <c:axId val="497119232"/>
        <c:scaling>
          <c:orientation val="minMax"/>
        </c:scaling>
        <c:delete val="0"/>
        <c:axPos val="l"/>
        <c:majorGridlines/>
        <c:title>
          <c:tx>
            <c:rich>
              <a:bodyPr/>
              <a:lstStyle/>
              <a:p>
                <a:pPr>
                  <a:defRPr/>
                </a:pPr>
                <a:r>
                  <a:rPr lang="en-US"/>
                  <a:t>in million</a:t>
                </a:r>
                <a:r>
                  <a:rPr lang="en-US" baseline="0"/>
                  <a:t> Tk.</a:t>
                </a:r>
                <a:endParaRPr lang="en-US"/>
              </a:p>
            </c:rich>
          </c:tx>
          <c:layout>
            <c:manualLayout>
              <c:xMode val="edge"/>
              <c:yMode val="edge"/>
              <c:x val="6.7888398680226322E-2"/>
              <c:y val="0.35236704880963132"/>
            </c:manualLayout>
          </c:layout>
          <c:overlay val="0"/>
        </c:title>
        <c:numFmt formatCode="General" sourceLinked="1"/>
        <c:majorTickMark val="none"/>
        <c:minorTickMark val="none"/>
        <c:tickLblPos val="nextTo"/>
        <c:crossAx val="497113344"/>
        <c:crosses val="autoZero"/>
        <c:crossBetween val="between"/>
      </c:valAx>
      <c:dTable>
        <c:showHorzBorder val="1"/>
        <c:showVertBorder val="1"/>
        <c:showOutline val="1"/>
        <c:showKeys val="1"/>
      </c:dTable>
    </c:plotArea>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sz="1200"/>
              <a:t>Indirect green Finance</a:t>
            </a:r>
          </a:p>
        </c:rich>
      </c:tx>
      <c:overlay val="0"/>
    </c:title>
    <c:autoTitleDeleted val="0"/>
    <c:view3D>
      <c:rotX val="15"/>
      <c:rotY val="20"/>
      <c:rAngAx val="1"/>
    </c:view3D>
    <c:floor>
      <c:thickness val="0"/>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floor>
    <c:sideWall>
      <c:thickness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ideWall>
    <c:backWall>
      <c:thickness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backWall>
    <c:plotArea>
      <c:layout/>
      <c:bar3DChart>
        <c:barDir val="col"/>
        <c:grouping val="clustered"/>
        <c:varyColors val="0"/>
        <c:ser>
          <c:idx val="0"/>
          <c:order val="0"/>
          <c:tx>
            <c:strRef>
              <c:f>Sheet1!$B$1</c:f>
              <c:strCache>
                <c:ptCount val="1"/>
                <c:pt idx="0">
                  <c:v>SCBs</c:v>
                </c:pt>
              </c:strCache>
            </c:strRef>
          </c:tx>
          <c:invertIfNegative val="0"/>
          <c:cat>
            <c:numRef>
              <c:f>Sheet1!$A$2:$A$5</c:f>
              <c:numCache>
                <c:formatCode>General</c:formatCode>
                <c:ptCount val="4"/>
                <c:pt idx="0">
                  <c:v>2012</c:v>
                </c:pt>
                <c:pt idx="1">
                  <c:v>2013</c:v>
                </c:pt>
                <c:pt idx="2">
                  <c:v>2014</c:v>
                </c:pt>
                <c:pt idx="3">
                  <c:v>2015</c:v>
                </c:pt>
              </c:numCache>
            </c:numRef>
          </c:cat>
          <c:val>
            <c:numRef>
              <c:f>Sheet1!$B$2:$B$5</c:f>
              <c:numCache>
                <c:formatCode>General</c:formatCode>
                <c:ptCount val="4"/>
                <c:pt idx="0">
                  <c:v>2994.15</c:v>
                </c:pt>
                <c:pt idx="1">
                  <c:v>1111.1799999999998</c:v>
                </c:pt>
                <c:pt idx="2">
                  <c:v>2826.13</c:v>
                </c:pt>
                <c:pt idx="3">
                  <c:v>519.1</c:v>
                </c:pt>
              </c:numCache>
            </c:numRef>
          </c:val>
        </c:ser>
        <c:ser>
          <c:idx val="1"/>
          <c:order val="1"/>
          <c:tx>
            <c:strRef>
              <c:f>Sheet1!$C$1</c:f>
              <c:strCache>
                <c:ptCount val="1"/>
                <c:pt idx="0">
                  <c:v>PCBs</c:v>
                </c:pt>
              </c:strCache>
            </c:strRef>
          </c:tx>
          <c:invertIfNegative val="0"/>
          <c:cat>
            <c:numRef>
              <c:f>Sheet1!$A$2:$A$5</c:f>
              <c:numCache>
                <c:formatCode>General</c:formatCode>
                <c:ptCount val="4"/>
                <c:pt idx="0">
                  <c:v>2012</c:v>
                </c:pt>
                <c:pt idx="1">
                  <c:v>2013</c:v>
                </c:pt>
                <c:pt idx="2">
                  <c:v>2014</c:v>
                </c:pt>
                <c:pt idx="3">
                  <c:v>2015</c:v>
                </c:pt>
              </c:numCache>
            </c:numRef>
          </c:cat>
          <c:val>
            <c:numRef>
              <c:f>Sheet1!$C$2:$C$5</c:f>
              <c:numCache>
                <c:formatCode>General</c:formatCode>
                <c:ptCount val="4"/>
                <c:pt idx="0">
                  <c:v>173187.17</c:v>
                </c:pt>
                <c:pt idx="1">
                  <c:v>236243.68</c:v>
                </c:pt>
                <c:pt idx="2">
                  <c:v>303589.31</c:v>
                </c:pt>
                <c:pt idx="3">
                  <c:v>232161.63</c:v>
                </c:pt>
              </c:numCache>
            </c:numRef>
          </c:val>
        </c:ser>
        <c:ser>
          <c:idx val="2"/>
          <c:order val="2"/>
          <c:tx>
            <c:strRef>
              <c:f>Sheet1!$D$1</c:f>
              <c:strCache>
                <c:ptCount val="1"/>
                <c:pt idx="0">
                  <c:v>FCBs</c:v>
                </c:pt>
              </c:strCache>
            </c:strRef>
          </c:tx>
          <c:invertIfNegative val="0"/>
          <c:cat>
            <c:numRef>
              <c:f>Sheet1!$A$2:$A$5</c:f>
              <c:numCache>
                <c:formatCode>General</c:formatCode>
                <c:ptCount val="4"/>
                <c:pt idx="0">
                  <c:v>2012</c:v>
                </c:pt>
                <c:pt idx="1">
                  <c:v>2013</c:v>
                </c:pt>
                <c:pt idx="2">
                  <c:v>2014</c:v>
                </c:pt>
                <c:pt idx="3">
                  <c:v>2015</c:v>
                </c:pt>
              </c:numCache>
            </c:numRef>
          </c:cat>
          <c:val>
            <c:numRef>
              <c:f>Sheet1!$D$2:$D$5</c:f>
              <c:numCache>
                <c:formatCode>General</c:formatCode>
                <c:ptCount val="4"/>
                <c:pt idx="0">
                  <c:v>76517.03</c:v>
                </c:pt>
                <c:pt idx="1">
                  <c:v>77968.72</c:v>
                </c:pt>
                <c:pt idx="2">
                  <c:v>75676.039999999994</c:v>
                </c:pt>
                <c:pt idx="3">
                  <c:v>47301.02</c:v>
                </c:pt>
              </c:numCache>
            </c:numRef>
          </c:val>
        </c:ser>
        <c:ser>
          <c:idx val="3"/>
          <c:order val="3"/>
          <c:tx>
            <c:strRef>
              <c:f>Sheet1!$E$1</c:f>
              <c:strCache>
                <c:ptCount val="1"/>
                <c:pt idx="0">
                  <c:v>SDBs</c:v>
                </c:pt>
              </c:strCache>
            </c:strRef>
          </c:tx>
          <c:invertIfNegative val="0"/>
          <c:cat>
            <c:numRef>
              <c:f>Sheet1!$A$2:$A$5</c:f>
              <c:numCache>
                <c:formatCode>General</c:formatCode>
                <c:ptCount val="4"/>
                <c:pt idx="0">
                  <c:v>2012</c:v>
                </c:pt>
                <c:pt idx="1">
                  <c:v>2013</c:v>
                </c:pt>
                <c:pt idx="2">
                  <c:v>2014</c:v>
                </c:pt>
                <c:pt idx="3">
                  <c:v>2015</c:v>
                </c:pt>
              </c:numCache>
            </c:numRef>
          </c:cat>
          <c:val>
            <c:numRef>
              <c:f>Sheet1!$E$2:$E$5</c:f>
              <c:numCache>
                <c:formatCode>General</c:formatCode>
                <c:ptCount val="4"/>
                <c:pt idx="0">
                  <c:v>6401.7</c:v>
                </c:pt>
                <c:pt idx="1">
                  <c:v>3119.2799999999997</c:v>
                </c:pt>
                <c:pt idx="2">
                  <c:v>920.84999999999798</c:v>
                </c:pt>
                <c:pt idx="3">
                  <c:v>0</c:v>
                </c:pt>
              </c:numCache>
            </c:numRef>
          </c:val>
        </c:ser>
        <c:dLbls>
          <c:showLegendKey val="0"/>
          <c:showVal val="0"/>
          <c:showCatName val="0"/>
          <c:showSerName val="0"/>
          <c:showPercent val="0"/>
          <c:showBubbleSize val="0"/>
        </c:dLbls>
        <c:gapWidth val="150"/>
        <c:shape val="box"/>
        <c:axId val="221388160"/>
        <c:axId val="221398144"/>
        <c:axId val="0"/>
      </c:bar3DChart>
      <c:catAx>
        <c:axId val="221388160"/>
        <c:scaling>
          <c:orientation val="minMax"/>
        </c:scaling>
        <c:delete val="0"/>
        <c:axPos val="b"/>
        <c:numFmt formatCode="General" sourceLinked="1"/>
        <c:majorTickMark val="none"/>
        <c:minorTickMark val="none"/>
        <c:tickLblPos val="nextTo"/>
        <c:crossAx val="221398144"/>
        <c:crosses val="autoZero"/>
        <c:auto val="1"/>
        <c:lblAlgn val="ctr"/>
        <c:lblOffset val="100"/>
        <c:noMultiLvlLbl val="0"/>
      </c:catAx>
      <c:valAx>
        <c:axId val="221398144"/>
        <c:scaling>
          <c:orientation val="minMax"/>
        </c:scaling>
        <c:delete val="0"/>
        <c:axPos val="l"/>
        <c:majorGridlines/>
        <c:title>
          <c:tx>
            <c:rich>
              <a:bodyPr/>
              <a:lstStyle/>
              <a:p>
                <a:pPr>
                  <a:defRPr/>
                </a:pPr>
                <a:r>
                  <a:rPr lang="en-US"/>
                  <a:t>in million Tk.</a:t>
                </a:r>
              </a:p>
            </c:rich>
          </c:tx>
          <c:layout>
            <c:manualLayout>
              <c:xMode val="edge"/>
              <c:yMode val="edge"/>
              <c:x val="4.9078564733756436E-2"/>
              <c:y val="0.36096805561715001"/>
            </c:manualLayout>
          </c:layout>
          <c:overlay val="0"/>
        </c:title>
        <c:numFmt formatCode="General" sourceLinked="1"/>
        <c:majorTickMark val="none"/>
        <c:minorTickMark val="none"/>
        <c:tickLblPos val="nextTo"/>
        <c:crossAx val="221388160"/>
        <c:crosses val="autoZero"/>
        <c:crossBetween val="between"/>
      </c:valAx>
      <c:dTable>
        <c:showHorzBorder val="1"/>
        <c:showVertBorder val="1"/>
        <c:showOutline val="1"/>
        <c:showKeys val="1"/>
      </c:dTable>
    </c:plotArea>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lgn="ctr">
              <a:defRPr sz="1200"/>
            </a:pPr>
            <a:r>
              <a:rPr lang="en-US" sz="1200"/>
              <a:t>Total Indirect and Direct Finance </a:t>
            </a:r>
          </a:p>
        </c:rich>
      </c:tx>
      <c:overlay val="0"/>
    </c:title>
    <c:autoTitleDeleted val="0"/>
    <c:view3D>
      <c:rotX val="15"/>
      <c:rotY val="20"/>
      <c:rAngAx val="1"/>
    </c:view3D>
    <c:floor>
      <c:thickness val="0"/>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floor>
    <c:sideWall>
      <c:thickness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ideWall>
    <c:backWall>
      <c:thickness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backWall>
    <c:plotArea>
      <c:layout/>
      <c:bar3DChart>
        <c:barDir val="col"/>
        <c:grouping val="clustered"/>
        <c:varyColors val="0"/>
        <c:ser>
          <c:idx val="0"/>
          <c:order val="0"/>
          <c:tx>
            <c:strRef>
              <c:f>Sheet1!$B$1</c:f>
              <c:strCache>
                <c:ptCount val="1"/>
                <c:pt idx="0">
                  <c:v>SCBs</c:v>
                </c:pt>
              </c:strCache>
            </c:strRef>
          </c:tx>
          <c:invertIfNegative val="0"/>
          <c:cat>
            <c:numRef>
              <c:f>Sheet1!$A$2:$A$5</c:f>
              <c:numCache>
                <c:formatCode>General</c:formatCode>
                <c:ptCount val="4"/>
                <c:pt idx="0">
                  <c:v>2012</c:v>
                </c:pt>
                <c:pt idx="1">
                  <c:v>2013</c:v>
                </c:pt>
                <c:pt idx="2">
                  <c:v>2014</c:v>
                </c:pt>
                <c:pt idx="3">
                  <c:v>2015</c:v>
                </c:pt>
              </c:numCache>
            </c:numRef>
          </c:cat>
          <c:val>
            <c:numRef>
              <c:f>Sheet1!$B$2:$B$5</c:f>
              <c:numCache>
                <c:formatCode>General</c:formatCode>
                <c:ptCount val="4"/>
                <c:pt idx="0">
                  <c:v>6507.25</c:v>
                </c:pt>
                <c:pt idx="1">
                  <c:v>3248.01</c:v>
                </c:pt>
                <c:pt idx="2">
                  <c:v>5224.8200000000024</c:v>
                </c:pt>
                <c:pt idx="3">
                  <c:v>2752.75</c:v>
                </c:pt>
              </c:numCache>
            </c:numRef>
          </c:val>
        </c:ser>
        <c:ser>
          <c:idx val="1"/>
          <c:order val="1"/>
          <c:tx>
            <c:strRef>
              <c:f>Sheet1!$C$1</c:f>
              <c:strCache>
                <c:ptCount val="1"/>
                <c:pt idx="0">
                  <c:v>PCBs</c:v>
                </c:pt>
              </c:strCache>
            </c:strRef>
          </c:tx>
          <c:invertIfNegative val="0"/>
          <c:cat>
            <c:numRef>
              <c:f>Sheet1!$A$2:$A$5</c:f>
              <c:numCache>
                <c:formatCode>General</c:formatCode>
                <c:ptCount val="4"/>
                <c:pt idx="0">
                  <c:v>2012</c:v>
                </c:pt>
                <c:pt idx="1">
                  <c:v>2013</c:v>
                </c:pt>
                <c:pt idx="2">
                  <c:v>2014</c:v>
                </c:pt>
                <c:pt idx="3">
                  <c:v>2015</c:v>
                </c:pt>
              </c:numCache>
            </c:numRef>
          </c:cat>
          <c:val>
            <c:numRef>
              <c:f>Sheet1!$C$2:$C$5</c:f>
              <c:numCache>
                <c:formatCode>General</c:formatCode>
                <c:ptCount val="4"/>
                <c:pt idx="0">
                  <c:v>178810.91</c:v>
                </c:pt>
                <c:pt idx="1">
                  <c:v>262809.2</c:v>
                </c:pt>
                <c:pt idx="2">
                  <c:v>320450.71000000002</c:v>
                </c:pt>
                <c:pt idx="3">
                  <c:v>244584.83</c:v>
                </c:pt>
              </c:numCache>
            </c:numRef>
          </c:val>
        </c:ser>
        <c:ser>
          <c:idx val="2"/>
          <c:order val="2"/>
          <c:tx>
            <c:strRef>
              <c:f>Sheet1!$D$1</c:f>
              <c:strCache>
                <c:ptCount val="1"/>
                <c:pt idx="0">
                  <c:v>FCBs</c:v>
                </c:pt>
              </c:strCache>
            </c:strRef>
          </c:tx>
          <c:invertIfNegative val="0"/>
          <c:cat>
            <c:numRef>
              <c:f>Sheet1!$A$2:$A$5</c:f>
              <c:numCache>
                <c:formatCode>General</c:formatCode>
                <c:ptCount val="4"/>
                <c:pt idx="0">
                  <c:v>2012</c:v>
                </c:pt>
                <c:pt idx="1">
                  <c:v>2013</c:v>
                </c:pt>
                <c:pt idx="2">
                  <c:v>2014</c:v>
                </c:pt>
                <c:pt idx="3">
                  <c:v>2015</c:v>
                </c:pt>
              </c:numCache>
            </c:numRef>
          </c:cat>
          <c:val>
            <c:numRef>
              <c:f>Sheet1!$D$2:$D$5</c:f>
              <c:numCache>
                <c:formatCode>General</c:formatCode>
                <c:ptCount val="4"/>
                <c:pt idx="0">
                  <c:v>77398.31</c:v>
                </c:pt>
                <c:pt idx="1">
                  <c:v>78684.05</c:v>
                </c:pt>
                <c:pt idx="2">
                  <c:v>87906.239999999991</c:v>
                </c:pt>
                <c:pt idx="3">
                  <c:v>48277.54</c:v>
                </c:pt>
              </c:numCache>
            </c:numRef>
          </c:val>
        </c:ser>
        <c:ser>
          <c:idx val="3"/>
          <c:order val="3"/>
          <c:tx>
            <c:strRef>
              <c:f>Sheet1!$E$1</c:f>
              <c:strCache>
                <c:ptCount val="1"/>
                <c:pt idx="0">
                  <c:v>SDBs</c:v>
                </c:pt>
              </c:strCache>
            </c:strRef>
          </c:tx>
          <c:invertIfNegative val="0"/>
          <c:cat>
            <c:numRef>
              <c:f>Sheet1!$A$2:$A$5</c:f>
              <c:numCache>
                <c:formatCode>General</c:formatCode>
                <c:ptCount val="4"/>
                <c:pt idx="0">
                  <c:v>2012</c:v>
                </c:pt>
                <c:pt idx="1">
                  <c:v>2013</c:v>
                </c:pt>
                <c:pt idx="2">
                  <c:v>2014</c:v>
                </c:pt>
                <c:pt idx="3">
                  <c:v>2015</c:v>
                </c:pt>
              </c:numCache>
            </c:numRef>
          </c:cat>
          <c:val>
            <c:numRef>
              <c:f>Sheet1!$E$2:$E$5</c:f>
              <c:numCache>
                <c:formatCode>General</c:formatCode>
                <c:ptCount val="4"/>
                <c:pt idx="0">
                  <c:v>8205.06</c:v>
                </c:pt>
                <c:pt idx="1">
                  <c:v>3384.23</c:v>
                </c:pt>
                <c:pt idx="2">
                  <c:v>1095.44</c:v>
                </c:pt>
                <c:pt idx="3">
                  <c:v>13.6</c:v>
                </c:pt>
              </c:numCache>
            </c:numRef>
          </c:val>
        </c:ser>
        <c:dLbls>
          <c:showLegendKey val="0"/>
          <c:showVal val="0"/>
          <c:showCatName val="0"/>
          <c:showSerName val="0"/>
          <c:showPercent val="0"/>
          <c:showBubbleSize val="0"/>
        </c:dLbls>
        <c:gapWidth val="150"/>
        <c:shape val="box"/>
        <c:axId val="201455104"/>
        <c:axId val="201456640"/>
        <c:axId val="0"/>
      </c:bar3DChart>
      <c:catAx>
        <c:axId val="201455104"/>
        <c:scaling>
          <c:orientation val="minMax"/>
        </c:scaling>
        <c:delete val="0"/>
        <c:axPos val="b"/>
        <c:numFmt formatCode="General" sourceLinked="1"/>
        <c:majorTickMark val="none"/>
        <c:minorTickMark val="none"/>
        <c:tickLblPos val="nextTo"/>
        <c:crossAx val="201456640"/>
        <c:crosses val="autoZero"/>
        <c:auto val="1"/>
        <c:lblAlgn val="ctr"/>
        <c:lblOffset val="100"/>
        <c:noMultiLvlLbl val="0"/>
      </c:catAx>
      <c:valAx>
        <c:axId val="201456640"/>
        <c:scaling>
          <c:orientation val="minMax"/>
        </c:scaling>
        <c:delete val="0"/>
        <c:axPos val="l"/>
        <c:majorGridlines/>
        <c:title>
          <c:tx>
            <c:rich>
              <a:bodyPr/>
              <a:lstStyle/>
              <a:p>
                <a:pPr>
                  <a:defRPr/>
                </a:pPr>
                <a:r>
                  <a:rPr lang="en-US"/>
                  <a:t>in million Tk.</a:t>
                </a:r>
              </a:p>
            </c:rich>
          </c:tx>
          <c:layout>
            <c:manualLayout>
              <c:xMode val="edge"/>
              <c:yMode val="edge"/>
              <c:x val="6.5750207327358492E-2"/>
              <c:y val="0.37497605666889638"/>
            </c:manualLayout>
          </c:layout>
          <c:overlay val="0"/>
        </c:title>
        <c:numFmt formatCode="General" sourceLinked="1"/>
        <c:majorTickMark val="none"/>
        <c:minorTickMark val="none"/>
        <c:tickLblPos val="nextTo"/>
        <c:crossAx val="201455104"/>
        <c:crosses val="autoZero"/>
        <c:crossBetween val="between"/>
      </c:valAx>
      <c:dTable>
        <c:showHorzBorder val="1"/>
        <c:showVertBorder val="1"/>
        <c:showOutline val="1"/>
        <c:showKeys val="1"/>
      </c:dTable>
    </c:plotArea>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Total green projects / events</a:t>
            </a:r>
          </a:p>
        </c:rich>
      </c:tx>
      <c:overlay val="0"/>
    </c:title>
    <c:autoTitleDeleted val="0"/>
    <c:plotArea>
      <c:layout/>
      <c:lineChart>
        <c:grouping val="stacked"/>
        <c:varyColors val="0"/>
        <c:ser>
          <c:idx val="0"/>
          <c:order val="0"/>
          <c:tx>
            <c:strRef>
              <c:f>Sheet1!$B$1</c:f>
              <c:strCache>
                <c:ptCount val="1"/>
                <c:pt idx="0">
                  <c:v>2012</c:v>
                </c:pt>
              </c:strCache>
            </c:strRef>
          </c:tx>
          <c:cat>
            <c:strRef>
              <c:f>Sheet1!$A$2:$A$9</c:f>
              <c:strCache>
                <c:ptCount val="8"/>
                <c:pt idx="0">
                  <c:v>Effluent Treatment plant</c:v>
                </c:pt>
                <c:pt idx="1">
                  <c:v>Projects having ETP</c:v>
                </c:pt>
                <c:pt idx="2">
                  <c:v>Bio-gas plant</c:v>
                </c:pt>
                <c:pt idx="3">
                  <c:v>Renewable energy plant</c:v>
                </c:pt>
                <c:pt idx="4">
                  <c:v>Bio-fertilizer plant</c:v>
                </c:pt>
                <c:pt idx="5">
                  <c:v>HHK</c:v>
                </c:pt>
                <c:pt idx="6">
                  <c:v>Others</c:v>
                </c:pt>
                <c:pt idx="7">
                  <c:v>Reduced rate of interest</c:v>
                </c:pt>
              </c:strCache>
            </c:strRef>
          </c:cat>
          <c:val>
            <c:numRef>
              <c:f>Sheet1!$B$2:$B$9</c:f>
              <c:numCache>
                <c:formatCode>General</c:formatCode>
                <c:ptCount val="8"/>
                <c:pt idx="0">
                  <c:v>1365.52</c:v>
                </c:pt>
                <c:pt idx="1">
                  <c:v>259100.05</c:v>
                </c:pt>
                <c:pt idx="2">
                  <c:v>899.87</c:v>
                </c:pt>
                <c:pt idx="3">
                  <c:v>3638.3700000000022</c:v>
                </c:pt>
                <c:pt idx="4">
                  <c:v>0.4</c:v>
                </c:pt>
                <c:pt idx="5">
                  <c:v>1830.33</c:v>
                </c:pt>
                <c:pt idx="6">
                  <c:v>4061.7599999999998</c:v>
                </c:pt>
                <c:pt idx="7">
                  <c:v>34.260000000000012</c:v>
                </c:pt>
              </c:numCache>
            </c:numRef>
          </c:val>
          <c:smooth val="0"/>
        </c:ser>
        <c:ser>
          <c:idx val="1"/>
          <c:order val="1"/>
          <c:tx>
            <c:strRef>
              <c:f>Sheet1!$C$1</c:f>
              <c:strCache>
                <c:ptCount val="1"/>
                <c:pt idx="0">
                  <c:v>2013</c:v>
                </c:pt>
              </c:strCache>
            </c:strRef>
          </c:tx>
          <c:cat>
            <c:strRef>
              <c:f>Sheet1!$A$2:$A$9</c:f>
              <c:strCache>
                <c:ptCount val="8"/>
                <c:pt idx="0">
                  <c:v>Effluent Treatment plant</c:v>
                </c:pt>
                <c:pt idx="1">
                  <c:v>Projects having ETP</c:v>
                </c:pt>
                <c:pt idx="2">
                  <c:v>Bio-gas plant</c:v>
                </c:pt>
                <c:pt idx="3">
                  <c:v>Renewable energy plant</c:v>
                </c:pt>
                <c:pt idx="4">
                  <c:v>Bio-fertilizer plant</c:v>
                </c:pt>
                <c:pt idx="5">
                  <c:v>HHK</c:v>
                </c:pt>
                <c:pt idx="6">
                  <c:v>Others</c:v>
                </c:pt>
                <c:pt idx="7">
                  <c:v>Reduced rate of interest</c:v>
                </c:pt>
              </c:strCache>
            </c:strRef>
          </c:cat>
          <c:val>
            <c:numRef>
              <c:f>Sheet1!$C$2:$C$9</c:f>
              <c:numCache>
                <c:formatCode>General</c:formatCode>
                <c:ptCount val="8"/>
                <c:pt idx="0">
                  <c:v>3663.18</c:v>
                </c:pt>
                <c:pt idx="1">
                  <c:v>318442.86</c:v>
                </c:pt>
                <c:pt idx="2">
                  <c:v>480.72999999999894</c:v>
                </c:pt>
                <c:pt idx="3">
                  <c:v>2002.59</c:v>
                </c:pt>
                <c:pt idx="4">
                  <c:v>1.7</c:v>
                </c:pt>
                <c:pt idx="5">
                  <c:v>2890.69</c:v>
                </c:pt>
                <c:pt idx="6">
                  <c:v>20565.23</c:v>
                </c:pt>
                <c:pt idx="7">
                  <c:v>78.61999999999999</c:v>
                </c:pt>
              </c:numCache>
            </c:numRef>
          </c:val>
          <c:smooth val="0"/>
        </c:ser>
        <c:ser>
          <c:idx val="2"/>
          <c:order val="2"/>
          <c:tx>
            <c:strRef>
              <c:f>Sheet1!$D$1</c:f>
              <c:strCache>
                <c:ptCount val="1"/>
                <c:pt idx="0">
                  <c:v>2014</c:v>
                </c:pt>
              </c:strCache>
            </c:strRef>
          </c:tx>
          <c:cat>
            <c:strRef>
              <c:f>Sheet1!$A$2:$A$9</c:f>
              <c:strCache>
                <c:ptCount val="8"/>
                <c:pt idx="0">
                  <c:v>Effluent Treatment plant</c:v>
                </c:pt>
                <c:pt idx="1">
                  <c:v>Projects having ETP</c:v>
                </c:pt>
                <c:pt idx="2">
                  <c:v>Bio-gas plant</c:v>
                </c:pt>
                <c:pt idx="3">
                  <c:v>Renewable energy plant</c:v>
                </c:pt>
                <c:pt idx="4">
                  <c:v>Bio-fertilizer plant</c:v>
                </c:pt>
                <c:pt idx="5">
                  <c:v>HHK</c:v>
                </c:pt>
                <c:pt idx="6">
                  <c:v>Others</c:v>
                </c:pt>
                <c:pt idx="7">
                  <c:v>Reduced rate of interest</c:v>
                </c:pt>
              </c:strCache>
            </c:strRef>
          </c:cat>
          <c:val>
            <c:numRef>
              <c:f>Sheet1!$D$2:$D$9</c:f>
              <c:numCache>
                <c:formatCode>General</c:formatCode>
                <c:ptCount val="8"/>
                <c:pt idx="0">
                  <c:v>1403.3</c:v>
                </c:pt>
                <c:pt idx="1">
                  <c:v>175140.34</c:v>
                </c:pt>
                <c:pt idx="2">
                  <c:v>127.95</c:v>
                </c:pt>
                <c:pt idx="3">
                  <c:v>1614.62</c:v>
                </c:pt>
                <c:pt idx="4">
                  <c:v>13.38</c:v>
                </c:pt>
                <c:pt idx="5">
                  <c:v>3141.8900000000012</c:v>
                </c:pt>
                <c:pt idx="6">
                  <c:v>1828.48</c:v>
                </c:pt>
                <c:pt idx="7">
                  <c:v>6993.07</c:v>
                </c:pt>
              </c:numCache>
            </c:numRef>
          </c:val>
          <c:smooth val="0"/>
        </c:ser>
        <c:dLbls>
          <c:showLegendKey val="0"/>
          <c:showVal val="0"/>
          <c:showCatName val="0"/>
          <c:showSerName val="0"/>
          <c:showPercent val="0"/>
          <c:showBubbleSize val="0"/>
        </c:dLbls>
        <c:marker val="1"/>
        <c:smooth val="0"/>
        <c:axId val="221690112"/>
        <c:axId val="221720576"/>
      </c:lineChart>
      <c:catAx>
        <c:axId val="221690112"/>
        <c:scaling>
          <c:orientation val="minMax"/>
        </c:scaling>
        <c:delete val="0"/>
        <c:axPos val="b"/>
        <c:numFmt formatCode="General" sourceLinked="1"/>
        <c:majorTickMark val="none"/>
        <c:minorTickMark val="none"/>
        <c:tickLblPos val="nextTo"/>
        <c:crossAx val="221720576"/>
        <c:crosses val="autoZero"/>
        <c:auto val="1"/>
        <c:lblAlgn val="ctr"/>
        <c:lblOffset val="100"/>
        <c:noMultiLvlLbl val="0"/>
      </c:catAx>
      <c:valAx>
        <c:axId val="221720576"/>
        <c:scaling>
          <c:orientation val="minMax"/>
        </c:scaling>
        <c:delete val="0"/>
        <c:axPos val="l"/>
        <c:majorGridlines/>
        <c:title>
          <c:tx>
            <c:rich>
              <a:bodyPr/>
              <a:lstStyle/>
              <a:p>
                <a:pPr>
                  <a:defRPr/>
                </a:pPr>
                <a:r>
                  <a:rPr lang="en-US"/>
                  <a:t>in million taka</a:t>
                </a:r>
              </a:p>
            </c:rich>
          </c:tx>
          <c:overlay val="0"/>
        </c:title>
        <c:numFmt formatCode="General" sourceLinked="1"/>
        <c:majorTickMark val="none"/>
        <c:minorTickMark val="none"/>
        <c:tickLblPos val="nextTo"/>
        <c:crossAx val="221690112"/>
        <c:crosses val="autoZero"/>
        <c:crossBetween val="between"/>
      </c:valAx>
      <c:dTable>
        <c:showHorzBorder val="1"/>
        <c:showVertBorder val="1"/>
        <c:showOutline val="1"/>
        <c:showKeys val="1"/>
      </c:dTable>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plotArea>
    <c:plotVisOnly val="1"/>
    <c:dispBlanksAs val="zero"/>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Amount disbursed to the rated projects</a:t>
            </a:r>
          </a:p>
        </c:rich>
      </c:tx>
      <c:overlay val="0"/>
    </c:title>
    <c:autoTitleDeleted val="0"/>
    <c:plotArea>
      <c:layout/>
      <c:barChart>
        <c:barDir val="col"/>
        <c:grouping val="clustered"/>
        <c:varyColors val="0"/>
        <c:ser>
          <c:idx val="0"/>
          <c:order val="0"/>
          <c:tx>
            <c:strRef>
              <c:f>Sheet1!$B$1</c:f>
              <c:strCache>
                <c:ptCount val="1"/>
                <c:pt idx="0">
                  <c:v>Amount disbursed to the rated projects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cat>
            <c:numRef>
              <c:f>Sheet1!$A$2:$A$3</c:f>
              <c:numCache>
                <c:formatCode>General</c:formatCode>
                <c:ptCount val="2"/>
                <c:pt idx="0">
                  <c:v>2011</c:v>
                </c:pt>
                <c:pt idx="1">
                  <c:v>2012</c:v>
                </c:pt>
              </c:numCache>
            </c:numRef>
          </c:cat>
          <c:val>
            <c:numRef>
              <c:f>Sheet1!$B$2:$B$3</c:f>
              <c:numCache>
                <c:formatCode>General</c:formatCode>
                <c:ptCount val="2"/>
                <c:pt idx="0">
                  <c:v>270951.13999999996</c:v>
                </c:pt>
                <c:pt idx="1">
                  <c:v>703633.21</c:v>
                </c:pt>
              </c:numCache>
            </c:numRef>
          </c:val>
        </c:ser>
        <c:dLbls>
          <c:showLegendKey val="0"/>
          <c:showVal val="0"/>
          <c:showCatName val="0"/>
          <c:showSerName val="0"/>
          <c:showPercent val="0"/>
          <c:showBubbleSize val="0"/>
        </c:dLbls>
        <c:gapWidth val="150"/>
        <c:axId val="221849472"/>
        <c:axId val="221851008"/>
      </c:barChart>
      <c:catAx>
        <c:axId val="221849472"/>
        <c:scaling>
          <c:orientation val="minMax"/>
        </c:scaling>
        <c:delete val="0"/>
        <c:axPos val="b"/>
        <c:numFmt formatCode="General" sourceLinked="1"/>
        <c:majorTickMark val="out"/>
        <c:minorTickMark val="none"/>
        <c:tickLblPos val="nextTo"/>
        <c:crossAx val="221851008"/>
        <c:crosses val="autoZero"/>
        <c:auto val="1"/>
        <c:lblAlgn val="ctr"/>
        <c:lblOffset val="100"/>
        <c:noMultiLvlLbl val="0"/>
      </c:catAx>
      <c:valAx>
        <c:axId val="221851008"/>
        <c:scaling>
          <c:orientation val="minMax"/>
        </c:scaling>
        <c:delete val="0"/>
        <c:axPos val="l"/>
        <c:majorGridlines/>
        <c:numFmt formatCode="General" sourceLinked="1"/>
        <c:majorTickMark val="out"/>
        <c:minorTickMark val="none"/>
        <c:tickLblPos val="nextTo"/>
        <c:crossAx val="22184947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Numbers of projects rated</c:v>
                </c:pt>
              </c:strCache>
            </c:strRef>
          </c:tx>
          <c:invertIfNegative val="0"/>
          <c:cat>
            <c:numRef>
              <c:f>Sheet1!$A$2:$A$3</c:f>
              <c:numCache>
                <c:formatCode>General</c:formatCode>
                <c:ptCount val="2"/>
                <c:pt idx="0">
                  <c:v>2011</c:v>
                </c:pt>
                <c:pt idx="1">
                  <c:v>2012</c:v>
                </c:pt>
              </c:numCache>
            </c:numRef>
          </c:cat>
          <c:val>
            <c:numRef>
              <c:f>Sheet1!$B$2:$B$3</c:f>
              <c:numCache>
                <c:formatCode>General</c:formatCode>
                <c:ptCount val="2"/>
                <c:pt idx="0">
                  <c:v>4394</c:v>
                </c:pt>
                <c:pt idx="1">
                  <c:v>12088</c:v>
                </c:pt>
              </c:numCache>
            </c:numRef>
          </c:val>
        </c:ser>
        <c:ser>
          <c:idx val="1"/>
          <c:order val="1"/>
          <c:tx>
            <c:strRef>
              <c:f>Sheet1!$C$1</c:f>
              <c:strCache>
                <c:ptCount val="1"/>
                <c:pt idx="0">
                  <c:v>No. of projects financed after rating </c:v>
                </c:pt>
              </c:strCache>
            </c:strRef>
          </c:tx>
          <c:invertIfNegative val="0"/>
          <c:cat>
            <c:numRef>
              <c:f>Sheet1!$A$2:$A$3</c:f>
              <c:numCache>
                <c:formatCode>General</c:formatCode>
                <c:ptCount val="2"/>
                <c:pt idx="0">
                  <c:v>2011</c:v>
                </c:pt>
                <c:pt idx="1">
                  <c:v>2012</c:v>
                </c:pt>
              </c:numCache>
            </c:numRef>
          </c:cat>
          <c:val>
            <c:numRef>
              <c:f>Sheet1!$C$2:$C$3</c:f>
              <c:numCache>
                <c:formatCode>General</c:formatCode>
                <c:ptCount val="2"/>
                <c:pt idx="0">
                  <c:v>4315</c:v>
                </c:pt>
                <c:pt idx="1">
                  <c:v>11165</c:v>
                </c:pt>
              </c:numCache>
            </c:numRef>
          </c:val>
        </c:ser>
        <c:dLbls>
          <c:showLegendKey val="0"/>
          <c:showVal val="0"/>
          <c:showCatName val="0"/>
          <c:showSerName val="0"/>
          <c:showPercent val="0"/>
          <c:showBubbleSize val="0"/>
        </c:dLbls>
        <c:gapWidth val="150"/>
        <c:axId val="235573248"/>
        <c:axId val="235574784"/>
      </c:barChart>
      <c:catAx>
        <c:axId val="235573248"/>
        <c:scaling>
          <c:orientation val="minMax"/>
        </c:scaling>
        <c:delete val="0"/>
        <c:axPos val="b"/>
        <c:numFmt formatCode="General" sourceLinked="1"/>
        <c:majorTickMark val="out"/>
        <c:minorTickMark val="none"/>
        <c:tickLblPos val="nextTo"/>
        <c:crossAx val="235574784"/>
        <c:crosses val="autoZero"/>
        <c:auto val="1"/>
        <c:lblAlgn val="ctr"/>
        <c:lblOffset val="100"/>
        <c:noMultiLvlLbl val="0"/>
      </c:catAx>
      <c:valAx>
        <c:axId val="235574784"/>
        <c:scaling>
          <c:orientation val="minMax"/>
        </c:scaling>
        <c:delete val="0"/>
        <c:axPos val="l"/>
        <c:majorGridlines/>
        <c:numFmt formatCode="General" sourceLinked="1"/>
        <c:majorTickMark val="out"/>
        <c:minorTickMark val="none"/>
        <c:tickLblPos val="nextTo"/>
        <c:crossAx val="235573248"/>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Amount disbursed to the rated projects</a:t>
            </a:r>
          </a:p>
        </c:rich>
      </c:tx>
      <c:overlay val="0"/>
    </c:title>
    <c:autoTitleDeleted val="0"/>
    <c:plotArea>
      <c:layout/>
      <c:barChart>
        <c:barDir val="col"/>
        <c:grouping val="clustered"/>
        <c:varyColors val="0"/>
        <c:ser>
          <c:idx val="0"/>
          <c:order val="0"/>
          <c:tx>
            <c:strRef>
              <c:f>Sheet1!$B$1</c:f>
              <c:strCache>
                <c:ptCount val="1"/>
                <c:pt idx="0">
                  <c:v>Amount disbursed to the rated projects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invertIfNegative val="0"/>
          <c:dPt>
            <c:idx val="0"/>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dPt>
          <c:cat>
            <c:numRef>
              <c:f>Sheet1!$A$2:$A$3</c:f>
              <c:numCache>
                <c:formatCode>General</c:formatCode>
                <c:ptCount val="2"/>
                <c:pt idx="0">
                  <c:v>2012</c:v>
                </c:pt>
                <c:pt idx="1">
                  <c:v>2013</c:v>
                </c:pt>
              </c:numCache>
            </c:numRef>
          </c:cat>
          <c:val>
            <c:numRef>
              <c:f>Sheet1!$B$2:$B$3</c:f>
              <c:numCache>
                <c:formatCode>General</c:formatCode>
                <c:ptCount val="2"/>
                <c:pt idx="0">
                  <c:v>703633.21</c:v>
                </c:pt>
                <c:pt idx="1">
                  <c:v>1604884.79</c:v>
                </c:pt>
              </c:numCache>
            </c:numRef>
          </c:val>
        </c:ser>
        <c:dLbls>
          <c:showLegendKey val="0"/>
          <c:showVal val="0"/>
          <c:showCatName val="0"/>
          <c:showSerName val="0"/>
          <c:showPercent val="0"/>
          <c:showBubbleSize val="0"/>
        </c:dLbls>
        <c:gapWidth val="150"/>
        <c:axId val="267531776"/>
        <c:axId val="267533312"/>
      </c:barChart>
      <c:catAx>
        <c:axId val="267531776"/>
        <c:scaling>
          <c:orientation val="minMax"/>
        </c:scaling>
        <c:delete val="0"/>
        <c:axPos val="b"/>
        <c:numFmt formatCode="General" sourceLinked="1"/>
        <c:majorTickMark val="out"/>
        <c:minorTickMark val="none"/>
        <c:tickLblPos val="nextTo"/>
        <c:crossAx val="267533312"/>
        <c:crosses val="autoZero"/>
        <c:auto val="1"/>
        <c:lblAlgn val="ctr"/>
        <c:lblOffset val="100"/>
        <c:noMultiLvlLbl val="0"/>
      </c:catAx>
      <c:valAx>
        <c:axId val="267533312"/>
        <c:scaling>
          <c:orientation val="minMax"/>
        </c:scaling>
        <c:delete val="0"/>
        <c:axPos val="l"/>
        <c:majorGridlines/>
        <c:numFmt formatCode="General" sourceLinked="1"/>
        <c:majorTickMark val="out"/>
        <c:minorTickMark val="none"/>
        <c:tickLblPos val="nextTo"/>
        <c:crossAx val="267531776"/>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Numbers of projects rated</c:v>
                </c:pt>
              </c:strCache>
            </c:strRef>
          </c:tx>
          <c:invertIfNegative val="0"/>
          <c:cat>
            <c:numRef>
              <c:f>Sheet1!$A$2:$A$3</c:f>
              <c:numCache>
                <c:formatCode>General</c:formatCode>
                <c:ptCount val="2"/>
                <c:pt idx="0">
                  <c:v>2012</c:v>
                </c:pt>
                <c:pt idx="1">
                  <c:v>2013</c:v>
                </c:pt>
              </c:numCache>
            </c:numRef>
          </c:cat>
          <c:val>
            <c:numRef>
              <c:f>Sheet1!$B$2:$B$3</c:f>
              <c:numCache>
                <c:formatCode>General</c:formatCode>
                <c:ptCount val="2"/>
                <c:pt idx="0">
                  <c:v>12088</c:v>
                </c:pt>
                <c:pt idx="1">
                  <c:v>32125</c:v>
                </c:pt>
              </c:numCache>
            </c:numRef>
          </c:val>
        </c:ser>
        <c:ser>
          <c:idx val="1"/>
          <c:order val="1"/>
          <c:tx>
            <c:strRef>
              <c:f>Sheet1!$C$1</c:f>
              <c:strCache>
                <c:ptCount val="1"/>
                <c:pt idx="0">
                  <c:v>No. of projects financed after rating </c:v>
                </c:pt>
              </c:strCache>
            </c:strRef>
          </c:tx>
          <c:invertIfNegative val="0"/>
          <c:cat>
            <c:numRef>
              <c:f>Sheet1!$A$2:$A$3</c:f>
              <c:numCache>
                <c:formatCode>General</c:formatCode>
                <c:ptCount val="2"/>
                <c:pt idx="0">
                  <c:v>2012</c:v>
                </c:pt>
                <c:pt idx="1">
                  <c:v>2013</c:v>
                </c:pt>
              </c:numCache>
            </c:numRef>
          </c:cat>
          <c:val>
            <c:numRef>
              <c:f>Sheet1!$C$2:$C$3</c:f>
              <c:numCache>
                <c:formatCode>General</c:formatCode>
                <c:ptCount val="2"/>
                <c:pt idx="0">
                  <c:v>11165</c:v>
                </c:pt>
                <c:pt idx="1">
                  <c:v>28545</c:v>
                </c:pt>
              </c:numCache>
            </c:numRef>
          </c:val>
        </c:ser>
        <c:dLbls>
          <c:showLegendKey val="0"/>
          <c:showVal val="0"/>
          <c:showCatName val="0"/>
          <c:showSerName val="0"/>
          <c:showPercent val="0"/>
          <c:showBubbleSize val="0"/>
        </c:dLbls>
        <c:gapWidth val="150"/>
        <c:axId val="221626368"/>
        <c:axId val="221627904"/>
      </c:barChart>
      <c:catAx>
        <c:axId val="221626368"/>
        <c:scaling>
          <c:orientation val="minMax"/>
        </c:scaling>
        <c:delete val="0"/>
        <c:axPos val="b"/>
        <c:numFmt formatCode="General" sourceLinked="1"/>
        <c:majorTickMark val="out"/>
        <c:minorTickMark val="none"/>
        <c:tickLblPos val="nextTo"/>
        <c:crossAx val="221627904"/>
        <c:crosses val="autoZero"/>
        <c:auto val="1"/>
        <c:lblAlgn val="ctr"/>
        <c:lblOffset val="100"/>
        <c:noMultiLvlLbl val="0"/>
      </c:catAx>
      <c:valAx>
        <c:axId val="221627904"/>
        <c:scaling>
          <c:orientation val="minMax"/>
        </c:scaling>
        <c:delete val="0"/>
        <c:axPos val="l"/>
        <c:majorGridlines/>
        <c:numFmt formatCode="General" sourceLinked="1"/>
        <c:majorTickMark val="out"/>
        <c:minorTickMark val="none"/>
        <c:tickLblPos val="nextTo"/>
        <c:crossAx val="221626368"/>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Amount disbursed to the rated projects</a:t>
            </a:r>
          </a:p>
        </c:rich>
      </c:tx>
      <c:overlay val="0"/>
    </c:title>
    <c:autoTitleDeleted val="0"/>
    <c:plotArea>
      <c:layout/>
      <c:barChart>
        <c:barDir val="col"/>
        <c:grouping val="clustered"/>
        <c:varyColors val="0"/>
        <c:ser>
          <c:idx val="0"/>
          <c:order val="0"/>
          <c:tx>
            <c:strRef>
              <c:f>Sheet1!$B$1</c:f>
              <c:strCache>
                <c:ptCount val="1"/>
                <c:pt idx="0">
                  <c:v>Amount disbursed to the rated projects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invertIfNegative val="0"/>
          <c:dPt>
            <c:idx val="0"/>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dPt>
          <c:cat>
            <c:numRef>
              <c:f>Sheet1!$A$2:$A$3</c:f>
              <c:numCache>
                <c:formatCode>General</c:formatCode>
                <c:ptCount val="2"/>
                <c:pt idx="0">
                  <c:v>2013</c:v>
                </c:pt>
                <c:pt idx="1">
                  <c:v>2014</c:v>
                </c:pt>
              </c:numCache>
            </c:numRef>
          </c:cat>
          <c:val>
            <c:numRef>
              <c:f>Sheet1!$B$2:$B$3</c:f>
              <c:numCache>
                <c:formatCode>General</c:formatCode>
                <c:ptCount val="2"/>
                <c:pt idx="0">
                  <c:v>1604884.79</c:v>
                </c:pt>
                <c:pt idx="1">
                  <c:v>1519777</c:v>
                </c:pt>
              </c:numCache>
            </c:numRef>
          </c:val>
        </c:ser>
        <c:dLbls>
          <c:showLegendKey val="0"/>
          <c:showVal val="0"/>
          <c:showCatName val="0"/>
          <c:showSerName val="0"/>
          <c:showPercent val="0"/>
          <c:showBubbleSize val="0"/>
        </c:dLbls>
        <c:gapWidth val="150"/>
        <c:axId val="336201216"/>
        <c:axId val="336202752"/>
      </c:barChart>
      <c:catAx>
        <c:axId val="336201216"/>
        <c:scaling>
          <c:orientation val="minMax"/>
        </c:scaling>
        <c:delete val="0"/>
        <c:axPos val="b"/>
        <c:numFmt formatCode="General" sourceLinked="1"/>
        <c:majorTickMark val="out"/>
        <c:minorTickMark val="none"/>
        <c:tickLblPos val="nextTo"/>
        <c:crossAx val="336202752"/>
        <c:crosses val="autoZero"/>
        <c:auto val="1"/>
        <c:lblAlgn val="ctr"/>
        <c:lblOffset val="100"/>
        <c:noMultiLvlLbl val="0"/>
      </c:catAx>
      <c:valAx>
        <c:axId val="336202752"/>
        <c:scaling>
          <c:orientation val="minMax"/>
        </c:scaling>
        <c:delete val="0"/>
        <c:axPos val="l"/>
        <c:majorGridlines/>
        <c:numFmt formatCode="General" sourceLinked="1"/>
        <c:majorTickMark val="out"/>
        <c:minorTickMark val="none"/>
        <c:tickLblPos val="nextTo"/>
        <c:crossAx val="336201216"/>
        <c:crosses val="autoZero"/>
        <c:crossBetween val="between"/>
      </c:valAx>
    </c:plotArea>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35D794-D4AA-4818-BE82-B88D335CC58C}" type="doc">
      <dgm:prSet loTypeId="urn:microsoft.com/office/officeart/2005/8/layout/hierarchy1" loCatId="hierarchy" qsTypeId="urn:microsoft.com/office/officeart/2005/8/quickstyle/3d4" qsCatId="3D" csTypeId="urn:microsoft.com/office/officeart/2005/8/colors/colorful4" csCatId="colorful" phldr="1"/>
      <dgm:spPr/>
      <dgm:t>
        <a:bodyPr/>
        <a:lstStyle/>
        <a:p>
          <a:endParaRPr lang="en-US"/>
        </a:p>
      </dgm:t>
    </dgm:pt>
    <dgm:pt modelId="{00942A55-3EC6-472F-9FEC-2C4C28A65762}">
      <dgm:prSet phldrT="[Text]" custT="1"/>
      <dgm:spPr>
        <a:xfrm>
          <a:off x="2619095" y="95011"/>
          <a:ext cx="891234" cy="565934"/>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r>
            <a:rPr lang="en-US" sz="1200" b="1">
              <a:solidFill>
                <a:sysClr val="windowText" lastClr="000000">
                  <a:hueOff val="0"/>
                  <a:satOff val="0"/>
                  <a:lumOff val="0"/>
                  <a:alphaOff val="0"/>
                </a:sysClr>
              </a:solidFill>
              <a:latin typeface="Times New Roman" pitchFamily="18" charset="0"/>
              <a:ea typeface="+mn-ea"/>
              <a:cs typeface="Times New Roman" pitchFamily="18" charset="0"/>
            </a:rPr>
            <a:t>Green Banking Activites </a:t>
          </a:r>
        </a:p>
      </dgm:t>
    </dgm:pt>
    <dgm:pt modelId="{A2820C90-BE52-44C1-89BE-0CF8EBA9F96E}" type="parTrans" cxnId="{D47C1601-FDAF-4AAE-817A-5C52DE468BD7}">
      <dgm:prSet/>
      <dgm:spPr/>
      <dgm:t>
        <a:bodyPr/>
        <a:lstStyle/>
        <a:p>
          <a:endParaRPr lang="en-US"/>
        </a:p>
      </dgm:t>
    </dgm:pt>
    <dgm:pt modelId="{ECC0AB08-66AC-495D-B324-3A0BFD46D1C2}" type="sibTrans" cxnId="{D47C1601-FDAF-4AAE-817A-5C52DE468BD7}">
      <dgm:prSet/>
      <dgm:spPr/>
      <dgm:t>
        <a:bodyPr/>
        <a:lstStyle/>
        <a:p>
          <a:endParaRPr lang="en-US"/>
        </a:p>
      </dgm:t>
    </dgm:pt>
    <dgm:pt modelId="{7AE5724F-3535-4930-9A3F-37F3561DD635}">
      <dgm:prSet phldrT="[Text]" custT="1"/>
      <dgm:spPr>
        <a:xfrm>
          <a:off x="1127175" y="920146"/>
          <a:ext cx="1114542" cy="565934"/>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r>
            <a:rPr lang="en-US" sz="1200" b="1">
              <a:solidFill>
                <a:sysClr val="windowText" lastClr="000000">
                  <a:hueOff val="0"/>
                  <a:satOff val="0"/>
                  <a:lumOff val="0"/>
                  <a:alphaOff val="0"/>
                </a:sysClr>
              </a:solidFill>
              <a:latin typeface="Times New Roman" pitchFamily="18" charset="0"/>
              <a:ea typeface="+mn-ea"/>
              <a:cs typeface="Times New Roman" pitchFamily="18" charset="0"/>
            </a:rPr>
            <a:t>BB's Green Banking Initiatives</a:t>
          </a:r>
        </a:p>
      </dgm:t>
    </dgm:pt>
    <dgm:pt modelId="{AA17439A-FBA4-4E1D-B073-FCD946FA3EEC}" type="parTrans" cxnId="{00A759B3-87C0-46CA-8C49-3864ECED1282}">
      <dgm:prSet/>
      <dgm:spPr>
        <a:xfrm>
          <a:off x="1585420" y="566871"/>
          <a:ext cx="1380266" cy="259200"/>
        </a:xfrm>
        <a:noFill/>
        <a:ln w="25400" cap="flat" cmpd="sng" algn="ctr">
          <a:solidFill>
            <a:srgbClr val="4BACC6">
              <a:hueOff val="0"/>
              <a:satOff val="0"/>
              <a:lumOff val="0"/>
              <a:alphaOff val="0"/>
            </a:srgbClr>
          </a:solidFill>
          <a:prstDash val="solid"/>
        </a:ln>
        <a:effectLst/>
        <a:sp3d z="-40000" prstMaterial="matte"/>
      </dgm:spPr>
      <dgm:t>
        <a:bodyPr/>
        <a:lstStyle/>
        <a:p>
          <a:endParaRPr lang="en-US"/>
        </a:p>
      </dgm:t>
    </dgm:pt>
    <dgm:pt modelId="{52335B71-FC23-4A6B-A8CE-208DED84437D}" type="sibTrans" cxnId="{00A759B3-87C0-46CA-8C49-3864ECED1282}">
      <dgm:prSet/>
      <dgm:spPr/>
      <dgm:t>
        <a:bodyPr/>
        <a:lstStyle/>
        <a:p>
          <a:endParaRPr lang="en-US"/>
        </a:p>
      </dgm:t>
    </dgm:pt>
    <dgm:pt modelId="{BF597B56-A01D-412F-AB98-3D8097871278}">
      <dgm:prSet phldrT="[Text]" custT="1"/>
      <dgm:spPr>
        <a:xfrm>
          <a:off x="481715" y="1745281"/>
          <a:ext cx="1045454" cy="565934"/>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r>
            <a:rPr lang="en-US" sz="1200" b="0">
              <a:solidFill>
                <a:sysClr val="windowText" lastClr="000000">
                  <a:hueOff val="0"/>
                  <a:satOff val="0"/>
                  <a:lumOff val="0"/>
                  <a:alphaOff val="0"/>
                </a:sysClr>
              </a:solidFill>
              <a:latin typeface="Times New Roman" pitchFamily="18" charset="0"/>
              <a:ea typeface="+mn-ea"/>
              <a:cs typeface="Times New Roman" pitchFamily="18" charset="0"/>
            </a:rPr>
            <a:t>BB's In-house Green Activities</a:t>
          </a:r>
        </a:p>
      </dgm:t>
    </dgm:pt>
    <dgm:pt modelId="{C8159494-29E5-4B14-BEC1-61F626FB96AC}" type="parTrans" cxnId="{E7F60535-A1D5-4EF5-BB84-ACE921113B52}">
      <dgm:prSet/>
      <dgm:spPr>
        <a:xfrm>
          <a:off x="905416" y="1392006"/>
          <a:ext cx="680004" cy="259200"/>
        </a:xfrm>
        <a:noFill/>
        <a:ln w="25400" cap="flat" cmpd="sng" algn="ctr">
          <a:solidFill>
            <a:srgbClr val="F79646">
              <a:hueOff val="0"/>
              <a:satOff val="0"/>
              <a:lumOff val="0"/>
              <a:alphaOff val="0"/>
            </a:srgbClr>
          </a:solidFill>
          <a:prstDash val="solid"/>
        </a:ln>
        <a:effectLst/>
        <a:scene3d>
          <a:camera prst="orthographicFront"/>
          <a:lightRig rig="chilly" dir="t"/>
        </a:scene3d>
        <a:sp3d z="-40000" prstMaterial="matte"/>
      </dgm:spPr>
      <dgm:t>
        <a:bodyPr/>
        <a:lstStyle/>
        <a:p>
          <a:endParaRPr lang="en-US"/>
        </a:p>
      </dgm:t>
    </dgm:pt>
    <dgm:pt modelId="{A50F7304-041E-47B7-9FAD-16D4512BA061}" type="sibTrans" cxnId="{E7F60535-A1D5-4EF5-BB84-ACE921113B52}">
      <dgm:prSet/>
      <dgm:spPr/>
      <dgm:t>
        <a:bodyPr/>
        <a:lstStyle/>
        <a:p>
          <a:endParaRPr lang="en-US"/>
        </a:p>
      </dgm:t>
    </dgm:pt>
    <dgm:pt modelId="{AB17E948-6DD6-4338-98B2-FD727824BCAD}">
      <dgm:prSet phldrT="[Text]" custT="1"/>
      <dgm:spPr>
        <a:xfrm>
          <a:off x="3845909" y="920146"/>
          <a:ext cx="1156341" cy="532142"/>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r>
            <a:rPr lang="en-US" sz="1200" b="1">
              <a:solidFill>
                <a:sysClr val="windowText" lastClr="000000">
                  <a:hueOff val="0"/>
                  <a:satOff val="0"/>
                  <a:lumOff val="0"/>
                  <a:alphaOff val="0"/>
                </a:sysClr>
              </a:solidFill>
              <a:latin typeface="Times New Roman" pitchFamily="18" charset="0"/>
              <a:ea typeface="+mn-ea"/>
              <a:cs typeface="Times New Roman" pitchFamily="18" charset="0"/>
            </a:rPr>
            <a:t>Bank's Green Banking Activities</a:t>
          </a:r>
        </a:p>
      </dgm:t>
    </dgm:pt>
    <dgm:pt modelId="{40F62437-FBF4-4992-B8D1-21BEE86E5CE6}" type="parTrans" cxnId="{10BC9B54-2FDF-43B9-B0C0-57AE281CE8FA}">
      <dgm:prSet/>
      <dgm:spPr>
        <a:xfrm>
          <a:off x="2965687" y="566871"/>
          <a:ext cx="1359366" cy="259200"/>
        </a:xfrm>
        <a:noFill/>
        <a:ln w="25400" cap="flat" cmpd="sng" algn="ctr">
          <a:solidFill>
            <a:srgbClr val="4BACC6">
              <a:hueOff val="0"/>
              <a:satOff val="0"/>
              <a:lumOff val="0"/>
              <a:alphaOff val="0"/>
            </a:srgbClr>
          </a:solidFill>
          <a:prstDash val="solid"/>
        </a:ln>
        <a:effectLst/>
        <a:sp3d z="-40000" prstMaterial="matte"/>
      </dgm:spPr>
      <dgm:t>
        <a:bodyPr/>
        <a:lstStyle/>
        <a:p>
          <a:endParaRPr lang="en-US"/>
        </a:p>
      </dgm:t>
    </dgm:pt>
    <dgm:pt modelId="{4728B1C4-A01D-46FC-A5DC-7DDB5F72A944}" type="sibTrans" cxnId="{10BC9B54-2FDF-43B9-B0C0-57AE281CE8FA}">
      <dgm:prSet/>
      <dgm:spPr/>
      <dgm:t>
        <a:bodyPr/>
        <a:lstStyle/>
        <a:p>
          <a:endParaRPr lang="en-US"/>
        </a:p>
      </dgm:t>
    </dgm:pt>
    <dgm:pt modelId="{960B54D7-A8FF-47E3-BF80-C5DC05B04B00}">
      <dgm:prSet phldrT="[Text]" custT="1"/>
      <dgm:spPr>
        <a:xfrm>
          <a:off x="3085230" y="1711489"/>
          <a:ext cx="1040614" cy="565934"/>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r>
            <a:rPr lang="en-US" sz="1200">
              <a:solidFill>
                <a:sysClr val="windowText" lastClr="000000">
                  <a:hueOff val="0"/>
                  <a:satOff val="0"/>
                  <a:lumOff val="0"/>
                  <a:alphaOff val="0"/>
                </a:sysClr>
              </a:solidFill>
              <a:latin typeface="Times New Roman" pitchFamily="18" charset="0"/>
              <a:ea typeface="+mn-ea"/>
              <a:cs typeface="Times New Roman" pitchFamily="18" charset="0"/>
            </a:rPr>
            <a:t>Bank's In-house Green Activities</a:t>
          </a:r>
        </a:p>
      </dgm:t>
    </dgm:pt>
    <dgm:pt modelId="{82221E25-D6C4-47EC-A28F-FF3AE7050D00}" type="parTrans" cxnId="{A98823F4-09D4-4E48-A3A1-5DBAADC084C7}">
      <dgm:prSet/>
      <dgm:spPr>
        <a:xfrm>
          <a:off x="3506511" y="1358214"/>
          <a:ext cx="818542" cy="259200"/>
        </a:xfrm>
        <a:noFill/>
        <a:ln w="25400" cap="flat" cmpd="sng" algn="ctr">
          <a:solidFill>
            <a:srgbClr val="F79646">
              <a:hueOff val="0"/>
              <a:satOff val="0"/>
              <a:lumOff val="0"/>
              <a:alphaOff val="0"/>
            </a:srgbClr>
          </a:solidFill>
          <a:prstDash val="solid"/>
        </a:ln>
        <a:effectLst/>
        <a:scene3d>
          <a:camera prst="orthographicFront"/>
          <a:lightRig rig="chilly" dir="t"/>
        </a:scene3d>
        <a:sp3d z="-40000" prstMaterial="matte"/>
      </dgm:spPr>
      <dgm:t>
        <a:bodyPr/>
        <a:lstStyle/>
        <a:p>
          <a:endParaRPr lang="en-US"/>
        </a:p>
      </dgm:t>
    </dgm:pt>
    <dgm:pt modelId="{7F50E3F7-A81C-4A03-843C-DF815B1E7C0E}" type="sibTrans" cxnId="{A98823F4-09D4-4E48-A3A1-5DBAADC084C7}">
      <dgm:prSet/>
      <dgm:spPr/>
      <dgm:t>
        <a:bodyPr/>
        <a:lstStyle/>
        <a:p>
          <a:endParaRPr lang="en-US"/>
        </a:p>
      </dgm:t>
    </dgm:pt>
    <dgm:pt modelId="{D1919BC9-2BC2-472B-A89A-598FFD1D32FD}">
      <dgm:prSet phldrT="[Text]" custT="1"/>
      <dgm:spPr>
        <a:xfrm>
          <a:off x="1725221" y="1745281"/>
          <a:ext cx="1161956" cy="565934"/>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r>
            <a:rPr lang="en-US" sz="1200">
              <a:solidFill>
                <a:sysClr val="windowText" lastClr="000000">
                  <a:hueOff val="0"/>
                  <a:satOff val="0"/>
                  <a:lumOff val="0"/>
                  <a:alphaOff val="0"/>
                </a:sysClr>
              </a:solidFill>
              <a:latin typeface="Times New Roman" pitchFamily="18" charset="0"/>
              <a:ea typeface="+mn-ea"/>
              <a:cs typeface="Times New Roman" pitchFamily="18" charset="0"/>
            </a:rPr>
            <a:t>BB's Non-in-house Operations</a:t>
          </a:r>
        </a:p>
      </dgm:t>
    </dgm:pt>
    <dgm:pt modelId="{CA32A0CE-5400-4E62-BAB7-675B814F9947}" type="parTrans" cxnId="{DB1C3B5B-5ECC-4C05-B54D-9FC2697274EA}">
      <dgm:prSet/>
      <dgm:spPr>
        <a:xfrm>
          <a:off x="1585420" y="1392006"/>
          <a:ext cx="621753" cy="259200"/>
        </a:xfrm>
        <a:noFill/>
        <a:ln w="25400" cap="flat" cmpd="sng" algn="ctr">
          <a:solidFill>
            <a:srgbClr val="F79646">
              <a:hueOff val="0"/>
              <a:satOff val="0"/>
              <a:lumOff val="0"/>
              <a:alphaOff val="0"/>
            </a:srgbClr>
          </a:solidFill>
          <a:prstDash val="solid"/>
        </a:ln>
        <a:effectLst/>
        <a:scene3d>
          <a:camera prst="orthographicFront"/>
          <a:lightRig rig="chilly" dir="t"/>
        </a:scene3d>
        <a:sp3d z="-40000" prstMaterial="matte"/>
      </dgm:spPr>
      <dgm:t>
        <a:bodyPr/>
        <a:lstStyle/>
        <a:p>
          <a:endParaRPr lang="en-US"/>
        </a:p>
      </dgm:t>
    </dgm:pt>
    <dgm:pt modelId="{0E0E8B12-F44D-4A45-91EE-748841A6CBDD}" type="sibTrans" cxnId="{DB1C3B5B-5ECC-4C05-B54D-9FC2697274EA}">
      <dgm:prSet/>
      <dgm:spPr/>
      <dgm:t>
        <a:bodyPr/>
        <a:lstStyle/>
        <a:p>
          <a:endParaRPr lang="en-US"/>
        </a:p>
      </dgm:t>
    </dgm:pt>
    <dgm:pt modelId="{C124B0FA-66EB-4919-8A87-16729D7A4D3A}">
      <dgm:prSet phldrT="[Text]" custT="1"/>
      <dgm:spPr>
        <a:xfrm>
          <a:off x="4323897" y="1711489"/>
          <a:ext cx="1439032" cy="565934"/>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pPr algn="ctr"/>
          <a:r>
            <a:rPr lang="en-US" sz="1200">
              <a:solidFill>
                <a:sysClr val="windowText" lastClr="000000">
                  <a:hueOff val="0"/>
                  <a:satOff val="0"/>
                  <a:lumOff val="0"/>
                  <a:alphaOff val="0"/>
                </a:sysClr>
              </a:solidFill>
              <a:latin typeface="Times New Roman" pitchFamily="18" charset="0"/>
              <a:ea typeface="+mn-ea"/>
              <a:cs typeface="Times New Roman" pitchFamily="18" charset="0"/>
            </a:rPr>
            <a:t>Bank's Green Activities other than In-house</a:t>
          </a:r>
        </a:p>
      </dgm:t>
    </dgm:pt>
    <dgm:pt modelId="{27DE1EF0-0C10-4E5E-A630-05C84C16F0B2}" type="parTrans" cxnId="{91034B05-40B1-476D-862B-4C1D201627F3}">
      <dgm:prSet/>
      <dgm:spPr>
        <a:xfrm>
          <a:off x="4325053" y="1358214"/>
          <a:ext cx="619333" cy="259200"/>
        </a:xfrm>
        <a:noFill/>
        <a:ln w="25400" cap="flat" cmpd="sng" algn="ctr">
          <a:solidFill>
            <a:srgbClr val="F79646">
              <a:hueOff val="0"/>
              <a:satOff val="0"/>
              <a:lumOff val="0"/>
              <a:alphaOff val="0"/>
            </a:srgbClr>
          </a:solidFill>
          <a:prstDash val="solid"/>
        </a:ln>
        <a:effectLst/>
        <a:scene3d>
          <a:camera prst="orthographicFront"/>
          <a:lightRig rig="chilly" dir="t"/>
        </a:scene3d>
        <a:sp3d z="-40000" prstMaterial="matte"/>
      </dgm:spPr>
      <dgm:t>
        <a:bodyPr/>
        <a:lstStyle/>
        <a:p>
          <a:endParaRPr lang="en-US"/>
        </a:p>
      </dgm:t>
    </dgm:pt>
    <dgm:pt modelId="{7B342789-90CF-4FB8-813E-87D3840333EB}" type="sibTrans" cxnId="{91034B05-40B1-476D-862B-4C1D201627F3}">
      <dgm:prSet/>
      <dgm:spPr/>
      <dgm:t>
        <a:bodyPr/>
        <a:lstStyle/>
        <a:p>
          <a:endParaRPr lang="en-US"/>
        </a:p>
      </dgm:t>
    </dgm:pt>
    <dgm:pt modelId="{87A24576-BA37-4E6F-B51B-4CBEE256B5DD}" type="pres">
      <dgm:prSet presAssocID="{3B35D794-D4AA-4818-BE82-B88D335CC58C}" presName="hierChild1" presStyleCnt="0">
        <dgm:presLayoutVars>
          <dgm:chPref val="1"/>
          <dgm:dir/>
          <dgm:animOne val="branch"/>
          <dgm:animLvl val="lvl"/>
          <dgm:resizeHandles/>
        </dgm:presLayoutVars>
      </dgm:prSet>
      <dgm:spPr/>
      <dgm:t>
        <a:bodyPr/>
        <a:lstStyle/>
        <a:p>
          <a:endParaRPr lang="en-US"/>
        </a:p>
      </dgm:t>
    </dgm:pt>
    <dgm:pt modelId="{8EC0F8BF-9E4A-4404-A15A-35C0CAE3989C}" type="pres">
      <dgm:prSet presAssocID="{00942A55-3EC6-472F-9FEC-2C4C28A65762}" presName="hierRoot1" presStyleCnt="0"/>
      <dgm:spPr/>
      <dgm:t>
        <a:bodyPr/>
        <a:lstStyle/>
        <a:p>
          <a:endParaRPr lang="en-US"/>
        </a:p>
      </dgm:t>
    </dgm:pt>
    <dgm:pt modelId="{C7EF9CD6-2294-44CA-9982-1DE5C80B3489}" type="pres">
      <dgm:prSet presAssocID="{00942A55-3EC6-472F-9FEC-2C4C28A65762}" presName="composite" presStyleCnt="0"/>
      <dgm:spPr/>
      <dgm:t>
        <a:bodyPr/>
        <a:lstStyle/>
        <a:p>
          <a:endParaRPr lang="en-US"/>
        </a:p>
      </dgm:t>
    </dgm:pt>
    <dgm:pt modelId="{01DA0069-16DF-4BFD-99DD-A0061BBB318A}" type="pres">
      <dgm:prSet presAssocID="{00942A55-3EC6-472F-9FEC-2C4C28A65762}" presName="background" presStyleLbl="node0" presStyleIdx="0" presStyleCnt="1"/>
      <dgm:spPr>
        <a:xfrm>
          <a:off x="2520069" y="937"/>
          <a:ext cx="891234" cy="565934"/>
        </a:xfrm>
        <a:prstGeom prst="roundRect">
          <a:avLst>
            <a:gd name="adj" fmla="val 10000"/>
          </a:avLst>
        </a:prstGeom>
        <a:solidFill>
          <a:srgbClr val="9BBB59">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endParaRPr lang="en-US"/>
        </a:p>
      </dgm:t>
    </dgm:pt>
    <dgm:pt modelId="{C1189F29-10F9-4B9A-A7BF-5E66B50C008F}" type="pres">
      <dgm:prSet presAssocID="{00942A55-3EC6-472F-9FEC-2C4C28A65762}" presName="text" presStyleLbl="fgAcc0" presStyleIdx="0" presStyleCnt="1">
        <dgm:presLayoutVars>
          <dgm:chPref val="3"/>
        </dgm:presLayoutVars>
      </dgm:prSet>
      <dgm:spPr>
        <a:prstGeom prst="roundRect">
          <a:avLst>
            <a:gd name="adj" fmla="val 10000"/>
          </a:avLst>
        </a:prstGeom>
      </dgm:spPr>
      <dgm:t>
        <a:bodyPr/>
        <a:lstStyle/>
        <a:p>
          <a:endParaRPr lang="en-US"/>
        </a:p>
      </dgm:t>
    </dgm:pt>
    <dgm:pt modelId="{A7A8B793-558D-4CC2-AC1F-32244946ABF6}" type="pres">
      <dgm:prSet presAssocID="{00942A55-3EC6-472F-9FEC-2C4C28A65762}" presName="hierChild2" presStyleCnt="0"/>
      <dgm:spPr/>
      <dgm:t>
        <a:bodyPr/>
        <a:lstStyle/>
        <a:p>
          <a:endParaRPr lang="en-US"/>
        </a:p>
      </dgm:t>
    </dgm:pt>
    <dgm:pt modelId="{26612757-376B-4ED0-9173-4BBBC4925C02}" type="pres">
      <dgm:prSet presAssocID="{AA17439A-FBA4-4E1D-B073-FCD946FA3EEC}" presName="Name10" presStyleLbl="parChTrans1D2" presStyleIdx="0" presStyleCnt="2"/>
      <dgm:spPr>
        <a:custGeom>
          <a:avLst/>
          <a:gdLst/>
          <a:ahLst/>
          <a:cxnLst/>
          <a:rect l="0" t="0" r="0" b="0"/>
          <a:pathLst>
            <a:path>
              <a:moveTo>
                <a:pt x="1380266" y="0"/>
              </a:moveTo>
              <a:lnTo>
                <a:pt x="1380266" y="176637"/>
              </a:lnTo>
              <a:lnTo>
                <a:pt x="0" y="176637"/>
              </a:lnTo>
              <a:lnTo>
                <a:pt x="0" y="259200"/>
              </a:lnTo>
            </a:path>
          </a:pathLst>
        </a:custGeom>
      </dgm:spPr>
      <dgm:t>
        <a:bodyPr/>
        <a:lstStyle/>
        <a:p>
          <a:endParaRPr lang="en-US"/>
        </a:p>
      </dgm:t>
    </dgm:pt>
    <dgm:pt modelId="{D1F9D75A-5EDC-4DE3-832A-9FCBA73F2C62}" type="pres">
      <dgm:prSet presAssocID="{7AE5724F-3535-4930-9A3F-37F3561DD635}" presName="hierRoot2" presStyleCnt="0"/>
      <dgm:spPr/>
      <dgm:t>
        <a:bodyPr/>
        <a:lstStyle/>
        <a:p>
          <a:endParaRPr lang="en-US"/>
        </a:p>
      </dgm:t>
    </dgm:pt>
    <dgm:pt modelId="{B3A480AE-3ECD-478A-935F-61246A62AAB3}" type="pres">
      <dgm:prSet presAssocID="{7AE5724F-3535-4930-9A3F-37F3561DD635}" presName="composite2" presStyleCnt="0"/>
      <dgm:spPr/>
      <dgm:t>
        <a:bodyPr/>
        <a:lstStyle/>
        <a:p>
          <a:endParaRPr lang="en-US"/>
        </a:p>
      </dgm:t>
    </dgm:pt>
    <dgm:pt modelId="{731C5455-0F4E-4503-9EB2-AA2FE50E8BCA}" type="pres">
      <dgm:prSet presAssocID="{7AE5724F-3535-4930-9A3F-37F3561DD635}" presName="background2" presStyleLbl="node2" presStyleIdx="0" presStyleCnt="2"/>
      <dgm:spPr>
        <a:xfrm>
          <a:off x="1028149" y="826072"/>
          <a:ext cx="1114542" cy="565934"/>
        </a:xfrm>
        <a:prstGeom prst="roundRect">
          <a:avLst>
            <a:gd name="adj" fmla="val 10000"/>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endParaRPr lang="en-US"/>
        </a:p>
      </dgm:t>
    </dgm:pt>
    <dgm:pt modelId="{C408B21B-59FA-4FD1-8CBB-B3D72869D36B}" type="pres">
      <dgm:prSet presAssocID="{7AE5724F-3535-4930-9A3F-37F3561DD635}" presName="text2" presStyleLbl="fgAcc2" presStyleIdx="0" presStyleCnt="2" custScaleX="125056">
        <dgm:presLayoutVars>
          <dgm:chPref val="3"/>
        </dgm:presLayoutVars>
      </dgm:prSet>
      <dgm:spPr>
        <a:prstGeom prst="roundRect">
          <a:avLst>
            <a:gd name="adj" fmla="val 10000"/>
          </a:avLst>
        </a:prstGeom>
      </dgm:spPr>
      <dgm:t>
        <a:bodyPr/>
        <a:lstStyle/>
        <a:p>
          <a:endParaRPr lang="en-US"/>
        </a:p>
      </dgm:t>
    </dgm:pt>
    <dgm:pt modelId="{262436DB-6CFF-47FF-8FFA-BB1929366664}" type="pres">
      <dgm:prSet presAssocID="{7AE5724F-3535-4930-9A3F-37F3561DD635}" presName="hierChild3" presStyleCnt="0"/>
      <dgm:spPr/>
      <dgm:t>
        <a:bodyPr/>
        <a:lstStyle/>
        <a:p>
          <a:endParaRPr lang="en-US"/>
        </a:p>
      </dgm:t>
    </dgm:pt>
    <dgm:pt modelId="{D676D233-2708-4BCA-A6DA-84558E745227}" type="pres">
      <dgm:prSet presAssocID="{C8159494-29E5-4B14-BEC1-61F626FB96AC}" presName="Name17" presStyleLbl="parChTrans1D3" presStyleIdx="0" presStyleCnt="4"/>
      <dgm:spPr>
        <a:custGeom>
          <a:avLst/>
          <a:gdLst/>
          <a:ahLst/>
          <a:cxnLst/>
          <a:rect l="0" t="0" r="0" b="0"/>
          <a:pathLst>
            <a:path>
              <a:moveTo>
                <a:pt x="680004" y="0"/>
              </a:moveTo>
              <a:lnTo>
                <a:pt x="680004" y="176637"/>
              </a:lnTo>
              <a:lnTo>
                <a:pt x="0" y="176637"/>
              </a:lnTo>
              <a:lnTo>
                <a:pt x="0" y="259200"/>
              </a:lnTo>
            </a:path>
          </a:pathLst>
        </a:custGeom>
      </dgm:spPr>
      <dgm:t>
        <a:bodyPr/>
        <a:lstStyle/>
        <a:p>
          <a:endParaRPr lang="en-US"/>
        </a:p>
      </dgm:t>
    </dgm:pt>
    <dgm:pt modelId="{5F3D3C41-EF4D-4F2D-AC07-B7E6C4C69071}" type="pres">
      <dgm:prSet presAssocID="{BF597B56-A01D-412F-AB98-3D8097871278}" presName="hierRoot3" presStyleCnt="0"/>
      <dgm:spPr/>
      <dgm:t>
        <a:bodyPr/>
        <a:lstStyle/>
        <a:p>
          <a:endParaRPr lang="en-US"/>
        </a:p>
      </dgm:t>
    </dgm:pt>
    <dgm:pt modelId="{F7D42F99-077B-4467-8DE8-AC5B3D47D1BD}" type="pres">
      <dgm:prSet presAssocID="{BF597B56-A01D-412F-AB98-3D8097871278}" presName="composite3" presStyleCnt="0"/>
      <dgm:spPr/>
      <dgm:t>
        <a:bodyPr/>
        <a:lstStyle/>
        <a:p>
          <a:endParaRPr lang="en-US"/>
        </a:p>
      </dgm:t>
    </dgm:pt>
    <dgm:pt modelId="{98E67FAC-4096-44B8-85CD-E3A2C0C93B9D}" type="pres">
      <dgm:prSet presAssocID="{BF597B56-A01D-412F-AB98-3D8097871278}" presName="background3" presStyleLbl="node3" presStyleIdx="0" presStyleCnt="4"/>
      <dgm:spPr>
        <a:xfrm>
          <a:off x="382689" y="1651206"/>
          <a:ext cx="1045454" cy="565934"/>
        </a:xfrm>
        <a:prstGeom prst="roundRect">
          <a:avLst>
            <a:gd name="adj" fmla="val 10000"/>
          </a:avLst>
        </a:prstGeom>
        <a:solidFill>
          <a:srgbClr val="F7964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endParaRPr lang="en-US"/>
        </a:p>
      </dgm:t>
    </dgm:pt>
    <dgm:pt modelId="{477E7C4C-911B-4955-9877-34CE06979D0D}" type="pres">
      <dgm:prSet presAssocID="{BF597B56-A01D-412F-AB98-3D8097871278}" presName="text3" presStyleLbl="fgAcc3" presStyleIdx="0" presStyleCnt="4" custScaleX="117304">
        <dgm:presLayoutVars>
          <dgm:chPref val="3"/>
        </dgm:presLayoutVars>
      </dgm:prSet>
      <dgm:spPr>
        <a:prstGeom prst="roundRect">
          <a:avLst>
            <a:gd name="adj" fmla="val 10000"/>
          </a:avLst>
        </a:prstGeom>
      </dgm:spPr>
      <dgm:t>
        <a:bodyPr/>
        <a:lstStyle/>
        <a:p>
          <a:endParaRPr lang="en-US"/>
        </a:p>
      </dgm:t>
    </dgm:pt>
    <dgm:pt modelId="{3CE668F5-2473-42E1-88F9-002285561DA9}" type="pres">
      <dgm:prSet presAssocID="{BF597B56-A01D-412F-AB98-3D8097871278}" presName="hierChild4" presStyleCnt="0"/>
      <dgm:spPr/>
      <dgm:t>
        <a:bodyPr/>
        <a:lstStyle/>
        <a:p>
          <a:endParaRPr lang="en-US"/>
        </a:p>
      </dgm:t>
    </dgm:pt>
    <dgm:pt modelId="{5A20345D-28F2-4C6C-8835-EC7ACCBBB7A6}" type="pres">
      <dgm:prSet presAssocID="{CA32A0CE-5400-4E62-BAB7-675B814F9947}" presName="Name17" presStyleLbl="parChTrans1D3" presStyleIdx="1" presStyleCnt="4"/>
      <dgm:spPr>
        <a:custGeom>
          <a:avLst/>
          <a:gdLst/>
          <a:ahLst/>
          <a:cxnLst/>
          <a:rect l="0" t="0" r="0" b="0"/>
          <a:pathLst>
            <a:path>
              <a:moveTo>
                <a:pt x="0" y="0"/>
              </a:moveTo>
              <a:lnTo>
                <a:pt x="0" y="176637"/>
              </a:lnTo>
              <a:lnTo>
                <a:pt x="621753" y="176637"/>
              </a:lnTo>
              <a:lnTo>
                <a:pt x="621753" y="259200"/>
              </a:lnTo>
            </a:path>
          </a:pathLst>
        </a:custGeom>
      </dgm:spPr>
      <dgm:t>
        <a:bodyPr/>
        <a:lstStyle/>
        <a:p>
          <a:endParaRPr lang="en-US"/>
        </a:p>
      </dgm:t>
    </dgm:pt>
    <dgm:pt modelId="{568EAE3D-C185-40DA-8FF6-C2260D0DFD63}" type="pres">
      <dgm:prSet presAssocID="{D1919BC9-2BC2-472B-A89A-598FFD1D32FD}" presName="hierRoot3" presStyleCnt="0"/>
      <dgm:spPr/>
      <dgm:t>
        <a:bodyPr/>
        <a:lstStyle/>
        <a:p>
          <a:endParaRPr lang="en-US"/>
        </a:p>
      </dgm:t>
    </dgm:pt>
    <dgm:pt modelId="{E5EEEED7-615D-4B7D-A0D2-094CB526781B}" type="pres">
      <dgm:prSet presAssocID="{D1919BC9-2BC2-472B-A89A-598FFD1D32FD}" presName="composite3" presStyleCnt="0"/>
      <dgm:spPr/>
      <dgm:t>
        <a:bodyPr/>
        <a:lstStyle/>
        <a:p>
          <a:endParaRPr lang="en-US"/>
        </a:p>
      </dgm:t>
    </dgm:pt>
    <dgm:pt modelId="{82EC6250-AD2F-4540-9195-B12D74FA9BC1}" type="pres">
      <dgm:prSet presAssocID="{D1919BC9-2BC2-472B-A89A-598FFD1D32FD}" presName="background3" presStyleLbl="node3" presStyleIdx="1" presStyleCnt="4"/>
      <dgm:spPr>
        <a:xfrm>
          <a:off x="1626195" y="1651206"/>
          <a:ext cx="1161956" cy="565934"/>
        </a:xfrm>
        <a:prstGeom prst="roundRect">
          <a:avLst>
            <a:gd name="adj" fmla="val 10000"/>
          </a:avLst>
        </a:prstGeom>
        <a:solidFill>
          <a:srgbClr val="F7964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endParaRPr lang="en-US"/>
        </a:p>
      </dgm:t>
    </dgm:pt>
    <dgm:pt modelId="{98EAAB52-8125-421C-A807-972A636EC36D}" type="pres">
      <dgm:prSet presAssocID="{D1919BC9-2BC2-472B-A89A-598FFD1D32FD}" presName="text3" presStyleLbl="fgAcc3" presStyleIdx="1" presStyleCnt="4" custScaleX="130376">
        <dgm:presLayoutVars>
          <dgm:chPref val="3"/>
        </dgm:presLayoutVars>
      </dgm:prSet>
      <dgm:spPr>
        <a:prstGeom prst="roundRect">
          <a:avLst>
            <a:gd name="adj" fmla="val 10000"/>
          </a:avLst>
        </a:prstGeom>
      </dgm:spPr>
      <dgm:t>
        <a:bodyPr/>
        <a:lstStyle/>
        <a:p>
          <a:endParaRPr lang="en-US"/>
        </a:p>
      </dgm:t>
    </dgm:pt>
    <dgm:pt modelId="{AC35A781-2E7B-4CD3-9DF4-BB97F0A34118}" type="pres">
      <dgm:prSet presAssocID="{D1919BC9-2BC2-472B-A89A-598FFD1D32FD}" presName="hierChild4" presStyleCnt="0"/>
      <dgm:spPr/>
      <dgm:t>
        <a:bodyPr/>
        <a:lstStyle/>
        <a:p>
          <a:endParaRPr lang="en-US"/>
        </a:p>
      </dgm:t>
    </dgm:pt>
    <dgm:pt modelId="{9759893B-15D8-4CA5-9D11-7760F3607CA1}" type="pres">
      <dgm:prSet presAssocID="{40F62437-FBF4-4992-B8D1-21BEE86E5CE6}" presName="Name10" presStyleLbl="parChTrans1D2" presStyleIdx="1" presStyleCnt="2"/>
      <dgm:spPr>
        <a:custGeom>
          <a:avLst/>
          <a:gdLst/>
          <a:ahLst/>
          <a:cxnLst/>
          <a:rect l="0" t="0" r="0" b="0"/>
          <a:pathLst>
            <a:path>
              <a:moveTo>
                <a:pt x="0" y="0"/>
              </a:moveTo>
              <a:lnTo>
                <a:pt x="0" y="176637"/>
              </a:lnTo>
              <a:lnTo>
                <a:pt x="1359366" y="176637"/>
              </a:lnTo>
              <a:lnTo>
                <a:pt x="1359366" y="259200"/>
              </a:lnTo>
            </a:path>
          </a:pathLst>
        </a:custGeom>
      </dgm:spPr>
      <dgm:t>
        <a:bodyPr/>
        <a:lstStyle/>
        <a:p>
          <a:endParaRPr lang="en-US"/>
        </a:p>
      </dgm:t>
    </dgm:pt>
    <dgm:pt modelId="{A7F56BB6-DA0A-4DE8-883D-2F9848E56F2D}" type="pres">
      <dgm:prSet presAssocID="{AB17E948-6DD6-4338-98B2-FD727824BCAD}" presName="hierRoot2" presStyleCnt="0"/>
      <dgm:spPr/>
      <dgm:t>
        <a:bodyPr/>
        <a:lstStyle/>
        <a:p>
          <a:endParaRPr lang="en-US"/>
        </a:p>
      </dgm:t>
    </dgm:pt>
    <dgm:pt modelId="{E4F4372B-DA7C-4C43-A8BC-D385E6A5A122}" type="pres">
      <dgm:prSet presAssocID="{AB17E948-6DD6-4338-98B2-FD727824BCAD}" presName="composite2" presStyleCnt="0"/>
      <dgm:spPr/>
      <dgm:t>
        <a:bodyPr/>
        <a:lstStyle/>
        <a:p>
          <a:endParaRPr lang="en-US"/>
        </a:p>
      </dgm:t>
    </dgm:pt>
    <dgm:pt modelId="{9A701929-5571-4DE7-AE20-54E796EBEDD0}" type="pres">
      <dgm:prSet presAssocID="{AB17E948-6DD6-4338-98B2-FD727824BCAD}" presName="background2" presStyleLbl="node2" presStyleIdx="1" presStyleCnt="2"/>
      <dgm:spPr>
        <a:xfrm>
          <a:off x="3746883" y="826072"/>
          <a:ext cx="1156341" cy="532142"/>
        </a:xfrm>
        <a:prstGeom prst="roundRect">
          <a:avLst>
            <a:gd name="adj" fmla="val 10000"/>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endParaRPr lang="en-US"/>
        </a:p>
      </dgm:t>
    </dgm:pt>
    <dgm:pt modelId="{62D298C0-9D07-4A56-84F7-186F64F6A7AA}" type="pres">
      <dgm:prSet presAssocID="{AB17E948-6DD6-4338-98B2-FD727824BCAD}" presName="text2" presStyleLbl="fgAcc2" presStyleIdx="1" presStyleCnt="2" custScaleX="129746" custScaleY="94029">
        <dgm:presLayoutVars>
          <dgm:chPref val="3"/>
        </dgm:presLayoutVars>
      </dgm:prSet>
      <dgm:spPr>
        <a:prstGeom prst="roundRect">
          <a:avLst>
            <a:gd name="adj" fmla="val 10000"/>
          </a:avLst>
        </a:prstGeom>
      </dgm:spPr>
      <dgm:t>
        <a:bodyPr/>
        <a:lstStyle/>
        <a:p>
          <a:endParaRPr lang="en-US"/>
        </a:p>
      </dgm:t>
    </dgm:pt>
    <dgm:pt modelId="{4F8C0072-52BB-465C-8549-EB89865F5E97}" type="pres">
      <dgm:prSet presAssocID="{AB17E948-6DD6-4338-98B2-FD727824BCAD}" presName="hierChild3" presStyleCnt="0"/>
      <dgm:spPr/>
      <dgm:t>
        <a:bodyPr/>
        <a:lstStyle/>
        <a:p>
          <a:endParaRPr lang="en-US"/>
        </a:p>
      </dgm:t>
    </dgm:pt>
    <dgm:pt modelId="{A2D1A86C-F218-4A1C-AF41-13384701E855}" type="pres">
      <dgm:prSet presAssocID="{82221E25-D6C4-47EC-A28F-FF3AE7050D00}" presName="Name17" presStyleLbl="parChTrans1D3" presStyleIdx="2" presStyleCnt="4"/>
      <dgm:spPr>
        <a:custGeom>
          <a:avLst/>
          <a:gdLst/>
          <a:ahLst/>
          <a:cxnLst/>
          <a:rect l="0" t="0" r="0" b="0"/>
          <a:pathLst>
            <a:path>
              <a:moveTo>
                <a:pt x="818542" y="0"/>
              </a:moveTo>
              <a:lnTo>
                <a:pt x="818542" y="176637"/>
              </a:lnTo>
              <a:lnTo>
                <a:pt x="0" y="176637"/>
              </a:lnTo>
              <a:lnTo>
                <a:pt x="0" y="259200"/>
              </a:lnTo>
            </a:path>
          </a:pathLst>
        </a:custGeom>
      </dgm:spPr>
      <dgm:t>
        <a:bodyPr/>
        <a:lstStyle/>
        <a:p>
          <a:endParaRPr lang="en-US"/>
        </a:p>
      </dgm:t>
    </dgm:pt>
    <dgm:pt modelId="{161BA573-7B76-443A-B701-552547463CF9}" type="pres">
      <dgm:prSet presAssocID="{960B54D7-A8FF-47E3-BF80-C5DC05B04B00}" presName="hierRoot3" presStyleCnt="0"/>
      <dgm:spPr/>
      <dgm:t>
        <a:bodyPr/>
        <a:lstStyle/>
        <a:p>
          <a:endParaRPr lang="en-US"/>
        </a:p>
      </dgm:t>
    </dgm:pt>
    <dgm:pt modelId="{08581E2C-ACF2-4CAF-9318-BD4915385F3D}" type="pres">
      <dgm:prSet presAssocID="{960B54D7-A8FF-47E3-BF80-C5DC05B04B00}" presName="composite3" presStyleCnt="0"/>
      <dgm:spPr/>
      <dgm:t>
        <a:bodyPr/>
        <a:lstStyle/>
        <a:p>
          <a:endParaRPr lang="en-US"/>
        </a:p>
      </dgm:t>
    </dgm:pt>
    <dgm:pt modelId="{61C286D8-60BB-4DEC-8502-837EC52F425A}" type="pres">
      <dgm:prSet presAssocID="{960B54D7-A8FF-47E3-BF80-C5DC05B04B00}" presName="background3" presStyleLbl="node3" presStyleIdx="2" presStyleCnt="4"/>
      <dgm:spPr>
        <a:xfrm>
          <a:off x="2986204" y="1617415"/>
          <a:ext cx="1040614" cy="565934"/>
        </a:xfrm>
        <a:prstGeom prst="roundRect">
          <a:avLst>
            <a:gd name="adj" fmla="val 10000"/>
          </a:avLst>
        </a:prstGeom>
        <a:solidFill>
          <a:srgbClr val="F7964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endParaRPr lang="en-US"/>
        </a:p>
      </dgm:t>
    </dgm:pt>
    <dgm:pt modelId="{53EFE8C5-803A-478B-8EDA-ABB5BCD88E48}" type="pres">
      <dgm:prSet presAssocID="{960B54D7-A8FF-47E3-BF80-C5DC05B04B00}" presName="text3" presStyleLbl="fgAcc3" presStyleIdx="2" presStyleCnt="4" custScaleX="116761">
        <dgm:presLayoutVars>
          <dgm:chPref val="3"/>
        </dgm:presLayoutVars>
      </dgm:prSet>
      <dgm:spPr>
        <a:prstGeom prst="roundRect">
          <a:avLst>
            <a:gd name="adj" fmla="val 10000"/>
          </a:avLst>
        </a:prstGeom>
      </dgm:spPr>
      <dgm:t>
        <a:bodyPr/>
        <a:lstStyle/>
        <a:p>
          <a:endParaRPr lang="en-US"/>
        </a:p>
      </dgm:t>
    </dgm:pt>
    <dgm:pt modelId="{6BC26B65-3D36-47B7-BDF1-CAEE9381265C}" type="pres">
      <dgm:prSet presAssocID="{960B54D7-A8FF-47E3-BF80-C5DC05B04B00}" presName="hierChild4" presStyleCnt="0"/>
      <dgm:spPr/>
      <dgm:t>
        <a:bodyPr/>
        <a:lstStyle/>
        <a:p>
          <a:endParaRPr lang="en-US"/>
        </a:p>
      </dgm:t>
    </dgm:pt>
    <dgm:pt modelId="{7E3CDA3F-2C18-4B65-A3C4-B199C14D5D00}" type="pres">
      <dgm:prSet presAssocID="{27DE1EF0-0C10-4E5E-A630-05C84C16F0B2}" presName="Name17" presStyleLbl="parChTrans1D3" presStyleIdx="3" presStyleCnt="4"/>
      <dgm:spPr>
        <a:custGeom>
          <a:avLst/>
          <a:gdLst/>
          <a:ahLst/>
          <a:cxnLst/>
          <a:rect l="0" t="0" r="0" b="0"/>
          <a:pathLst>
            <a:path>
              <a:moveTo>
                <a:pt x="0" y="0"/>
              </a:moveTo>
              <a:lnTo>
                <a:pt x="0" y="176637"/>
              </a:lnTo>
              <a:lnTo>
                <a:pt x="619333" y="176637"/>
              </a:lnTo>
              <a:lnTo>
                <a:pt x="619333" y="259200"/>
              </a:lnTo>
            </a:path>
          </a:pathLst>
        </a:custGeom>
      </dgm:spPr>
      <dgm:t>
        <a:bodyPr/>
        <a:lstStyle/>
        <a:p>
          <a:endParaRPr lang="en-US"/>
        </a:p>
      </dgm:t>
    </dgm:pt>
    <dgm:pt modelId="{DD1789DF-D8B0-4A5F-B9FF-D2E267BE4108}" type="pres">
      <dgm:prSet presAssocID="{C124B0FA-66EB-4919-8A87-16729D7A4D3A}" presName="hierRoot3" presStyleCnt="0"/>
      <dgm:spPr/>
      <dgm:t>
        <a:bodyPr/>
        <a:lstStyle/>
        <a:p>
          <a:endParaRPr lang="en-US"/>
        </a:p>
      </dgm:t>
    </dgm:pt>
    <dgm:pt modelId="{C98E723F-F72A-46AC-A8E8-50A42D13879D}" type="pres">
      <dgm:prSet presAssocID="{C124B0FA-66EB-4919-8A87-16729D7A4D3A}" presName="composite3" presStyleCnt="0"/>
      <dgm:spPr/>
      <dgm:t>
        <a:bodyPr/>
        <a:lstStyle/>
        <a:p>
          <a:endParaRPr lang="en-US"/>
        </a:p>
      </dgm:t>
    </dgm:pt>
    <dgm:pt modelId="{46A0FC18-0763-4576-83C3-8D7A52AB0700}" type="pres">
      <dgm:prSet presAssocID="{C124B0FA-66EB-4919-8A87-16729D7A4D3A}" presName="background3" presStyleLbl="node3" presStyleIdx="3" presStyleCnt="4"/>
      <dgm:spPr>
        <a:xfrm>
          <a:off x="4224871" y="1617415"/>
          <a:ext cx="1439032" cy="565934"/>
        </a:xfrm>
        <a:prstGeom prst="roundRect">
          <a:avLst>
            <a:gd name="adj" fmla="val 10000"/>
          </a:avLst>
        </a:prstGeom>
        <a:solidFill>
          <a:srgbClr val="F7964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endParaRPr lang="en-US"/>
        </a:p>
      </dgm:t>
    </dgm:pt>
    <dgm:pt modelId="{F3D2F891-04B0-4985-B8C6-FB6399CC4026}" type="pres">
      <dgm:prSet presAssocID="{C124B0FA-66EB-4919-8A87-16729D7A4D3A}" presName="text3" presStyleLbl="fgAcc3" presStyleIdx="3" presStyleCnt="4" custScaleX="161465">
        <dgm:presLayoutVars>
          <dgm:chPref val="3"/>
        </dgm:presLayoutVars>
      </dgm:prSet>
      <dgm:spPr>
        <a:prstGeom prst="roundRect">
          <a:avLst>
            <a:gd name="adj" fmla="val 10000"/>
          </a:avLst>
        </a:prstGeom>
      </dgm:spPr>
      <dgm:t>
        <a:bodyPr/>
        <a:lstStyle/>
        <a:p>
          <a:endParaRPr lang="en-US"/>
        </a:p>
      </dgm:t>
    </dgm:pt>
    <dgm:pt modelId="{0AAE2972-3A17-423E-A828-36414B7564B3}" type="pres">
      <dgm:prSet presAssocID="{C124B0FA-66EB-4919-8A87-16729D7A4D3A}" presName="hierChild4" presStyleCnt="0"/>
      <dgm:spPr/>
      <dgm:t>
        <a:bodyPr/>
        <a:lstStyle/>
        <a:p>
          <a:endParaRPr lang="en-US"/>
        </a:p>
      </dgm:t>
    </dgm:pt>
  </dgm:ptLst>
  <dgm:cxnLst>
    <dgm:cxn modelId="{6B2D65FE-BFB2-441B-81A0-AF8BA3C1CDDD}" type="presOf" srcId="{3B35D794-D4AA-4818-BE82-B88D335CC58C}" destId="{87A24576-BA37-4E6F-B51B-4CBEE256B5DD}" srcOrd="0" destOrd="0" presId="urn:microsoft.com/office/officeart/2005/8/layout/hierarchy1"/>
    <dgm:cxn modelId="{10BC9B54-2FDF-43B9-B0C0-57AE281CE8FA}" srcId="{00942A55-3EC6-472F-9FEC-2C4C28A65762}" destId="{AB17E948-6DD6-4338-98B2-FD727824BCAD}" srcOrd="1" destOrd="0" parTransId="{40F62437-FBF4-4992-B8D1-21BEE86E5CE6}" sibTransId="{4728B1C4-A01D-46FC-A5DC-7DDB5F72A944}"/>
    <dgm:cxn modelId="{C2CCB0F0-D236-4515-81A1-E6147EC9A598}" type="presOf" srcId="{82221E25-D6C4-47EC-A28F-FF3AE7050D00}" destId="{A2D1A86C-F218-4A1C-AF41-13384701E855}" srcOrd="0" destOrd="0" presId="urn:microsoft.com/office/officeart/2005/8/layout/hierarchy1"/>
    <dgm:cxn modelId="{91034B05-40B1-476D-862B-4C1D201627F3}" srcId="{AB17E948-6DD6-4338-98B2-FD727824BCAD}" destId="{C124B0FA-66EB-4919-8A87-16729D7A4D3A}" srcOrd="1" destOrd="0" parTransId="{27DE1EF0-0C10-4E5E-A630-05C84C16F0B2}" sibTransId="{7B342789-90CF-4FB8-813E-87D3840333EB}"/>
    <dgm:cxn modelId="{DB1C3B5B-5ECC-4C05-B54D-9FC2697274EA}" srcId="{7AE5724F-3535-4930-9A3F-37F3561DD635}" destId="{D1919BC9-2BC2-472B-A89A-598FFD1D32FD}" srcOrd="1" destOrd="0" parTransId="{CA32A0CE-5400-4E62-BAB7-675B814F9947}" sibTransId="{0E0E8B12-F44D-4A45-91EE-748841A6CBDD}"/>
    <dgm:cxn modelId="{0DFF07B1-09FE-4043-B684-9B4B6922B6F4}" type="presOf" srcId="{C124B0FA-66EB-4919-8A87-16729D7A4D3A}" destId="{F3D2F891-04B0-4985-B8C6-FB6399CC4026}" srcOrd="0" destOrd="0" presId="urn:microsoft.com/office/officeart/2005/8/layout/hierarchy1"/>
    <dgm:cxn modelId="{E40F47A2-CEA6-4AE7-B6DA-03C075645E1F}" type="presOf" srcId="{C8159494-29E5-4B14-BEC1-61F626FB96AC}" destId="{D676D233-2708-4BCA-A6DA-84558E745227}" srcOrd="0" destOrd="0" presId="urn:microsoft.com/office/officeart/2005/8/layout/hierarchy1"/>
    <dgm:cxn modelId="{3F90F705-3E8B-4CFB-B9F7-777BB14FA7D2}" type="presOf" srcId="{AA17439A-FBA4-4E1D-B073-FCD946FA3EEC}" destId="{26612757-376B-4ED0-9173-4BBBC4925C02}" srcOrd="0" destOrd="0" presId="urn:microsoft.com/office/officeart/2005/8/layout/hierarchy1"/>
    <dgm:cxn modelId="{BB31D13A-BA0A-47CE-BBA4-F6128D8F8085}" type="presOf" srcId="{27DE1EF0-0C10-4E5E-A630-05C84C16F0B2}" destId="{7E3CDA3F-2C18-4B65-A3C4-B199C14D5D00}" srcOrd="0" destOrd="0" presId="urn:microsoft.com/office/officeart/2005/8/layout/hierarchy1"/>
    <dgm:cxn modelId="{FB51CD30-1AE7-427A-9D37-F0938049E019}" type="presOf" srcId="{40F62437-FBF4-4992-B8D1-21BEE86E5CE6}" destId="{9759893B-15D8-4CA5-9D11-7760F3607CA1}" srcOrd="0" destOrd="0" presId="urn:microsoft.com/office/officeart/2005/8/layout/hierarchy1"/>
    <dgm:cxn modelId="{A98823F4-09D4-4E48-A3A1-5DBAADC084C7}" srcId="{AB17E948-6DD6-4338-98B2-FD727824BCAD}" destId="{960B54D7-A8FF-47E3-BF80-C5DC05B04B00}" srcOrd="0" destOrd="0" parTransId="{82221E25-D6C4-47EC-A28F-FF3AE7050D00}" sibTransId="{7F50E3F7-A81C-4A03-843C-DF815B1E7C0E}"/>
    <dgm:cxn modelId="{00A759B3-87C0-46CA-8C49-3864ECED1282}" srcId="{00942A55-3EC6-472F-9FEC-2C4C28A65762}" destId="{7AE5724F-3535-4930-9A3F-37F3561DD635}" srcOrd="0" destOrd="0" parTransId="{AA17439A-FBA4-4E1D-B073-FCD946FA3EEC}" sibTransId="{52335B71-FC23-4A6B-A8CE-208DED84437D}"/>
    <dgm:cxn modelId="{394539FE-3613-4A91-B300-2BDBBB65E3A6}" type="presOf" srcId="{D1919BC9-2BC2-472B-A89A-598FFD1D32FD}" destId="{98EAAB52-8125-421C-A807-972A636EC36D}" srcOrd="0" destOrd="0" presId="urn:microsoft.com/office/officeart/2005/8/layout/hierarchy1"/>
    <dgm:cxn modelId="{5F4E9C9C-D8AA-4D44-A101-C2585E3D1748}" type="presOf" srcId="{00942A55-3EC6-472F-9FEC-2C4C28A65762}" destId="{C1189F29-10F9-4B9A-A7BF-5E66B50C008F}" srcOrd="0" destOrd="0" presId="urn:microsoft.com/office/officeart/2005/8/layout/hierarchy1"/>
    <dgm:cxn modelId="{855825C7-2883-4B07-B731-52490D6504B9}" type="presOf" srcId="{7AE5724F-3535-4930-9A3F-37F3561DD635}" destId="{C408B21B-59FA-4FD1-8CBB-B3D72869D36B}" srcOrd="0" destOrd="0" presId="urn:microsoft.com/office/officeart/2005/8/layout/hierarchy1"/>
    <dgm:cxn modelId="{1A2A7B50-6374-4F7A-A5B9-A7751D4604A9}" type="presOf" srcId="{CA32A0CE-5400-4E62-BAB7-675B814F9947}" destId="{5A20345D-28F2-4C6C-8835-EC7ACCBBB7A6}" srcOrd="0" destOrd="0" presId="urn:microsoft.com/office/officeart/2005/8/layout/hierarchy1"/>
    <dgm:cxn modelId="{C48078AE-F0C6-4114-B9B6-F6D55A6DB61D}" type="presOf" srcId="{960B54D7-A8FF-47E3-BF80-C5DC05B04B00}" destId="{53EFE8C5-803A-478B-8EDA-ABB5BCD88E48}" srcOrd="0" destOrd="0" presId="urn:microsoft.com/office/officeart/2005/8/layout/hierarchy1"/>
    <dgm:cxn modelId="{D47C1601-FDAF-4AAE-817A-5C52DE468BD7}" srcId="{3B35D794-D4AA-4818-BE82-B88D335CC58C}" destId="{00942A55-3EC6-472F-9FEC-2C4C28A65762}" srcOrd="0" destOrd="0" parTransId="{A2820C90-BE52-44C1-89BE-0CF8EBA9F96E}" sibTransId="{ECC0AB08-66AC-495D-B324-3A0BFD46D1C2}"/>
    <dgm:cxn modelId="{C31BAA1B-900A-44B9-A033-CDAF3B5EFF09}" type="presOf" srcId="{AB17E948-6DD6-4338-98B2-FD727824BCAD}" destId="{62D298C0-9D07-4A56-84F7-186F64F6A7AA}" srcOrd="0" destOrd="0" presId="urn:microsoft.com/office/officeart/2005/8/layout/hierarchy1"/>
    <dgm:cxn modelId="{73FD8265-82C3-4E14-9C52-E883D91AFFCD}" type="presOf" srcId="{BF597B56-A01D-412F-AB98-3D8097871278}" destId="{477E7C4C-911B-4955-9877-34CE06979D0D}" srcOrd="0" destOrd="0" presId="urn:microsoft.com/office/officeart/2005/8/layout/hierarchy1"/>
    <dgm:cxn modelId="{E7F60535-A1D5-4EF5-BB84-ACE921113B52}" srcId="{7AE5724F-3535-4930-9A3F-37F3561DD635}" destId="{BF597B56-A01D-412F-AB98-3D8097871278}" srcOrd="0" destOrd="0" parTransId="{C8159494-29E5-4B14-BEC1-61F626FB96AC}" sibTransId="{A50F7304-041E-47B7-9FAD-16D4512BA061}"/>
    <dgm:cxn modelId="{E5209128-981C-4602-BF8E-3AEE81CA0346}" type="presParOf" srcId="{87A24576-BA37-4E6F-B51B-4CBEE256B5DD}" destId="{8EC0F8BF-9E4A-4404-A15A-35C0CAE3989C}" srcOrd="0" destOrd="0" presId="urn:microsoft.com/office/officeart/2005/8/layout/hierarchy1"/>
    <dgm:cxn modelId="{5DAE2E84-A748-4D62-BEB5-BC4323EDF49A}" type="presParOf" srcId="{8EC0F8BF-9E4A-4404-A15A-35C0CAE3989C}" destId="{C7EF9CD6-2294-44CA-9982-1DE5C80B3489}" srcOrd="0" destOrd="0" presId="urn:microsoft.com/office/officeart/2005/8/layout/hierarchy1"/>
    <dgm:cxn modelId="{E7A428B4-5C60-43ED-AAB1-6BF3C4AFA749}" type="presParOf" srcId="{C7EF9CD6-2294-44CA-9982-1DE5C80B3489}" destId="{01DA0069-16DF-4BFD-99DD-A0061BBB318A}" srcOrd="0" destOrd="0" presId="urn:microsoft.com/office/officeart/2005/8/layout/hierarchy1"/>
    <dgm:cxn modelId="{DAF6909A-F748-4402-AADC-2C91D12B9EC7}" type="presParOf" srcId="{C7EF9CD6-2294-44CA-9982-1DE5C80B3489}" destId="{C1189F29-10F9-4B9A-A7BF-5E66B50C008F}" srcOrd="1" destOrd="0" presId="urn:microsoft.com/office/officeart/2005/8/layout/hierarchy1"/>
    <dgm:cxn modelId="{517D1F05-B6D6-4D26-8291-9831CD6ED778}" type="presParOf" srcId="{8EC0F8BF-9E4A-4404-A15A-35C0CAE3989C}" destId="{A7A8B793-558D-4CC2-AC1F-32244946ABF6}" srcOrd="1" destOrd="0" presId="urn:microsoft.com/office/officeart/2005/8/layout/hierarchy1"/>
    <dgm:cxn modelId="{48583459-2E8F-4A35-B1BB-451F0649B5C8}" type="presParOf" srcId="{A7A8B793-558D-4CC2-AC1F-32244946ABF6}" destId="{26612757-376B-4ED0-9173-4BBBC4925C02}" srcOrd="0" destOrd="0" presId="urn:microsoft.com/office/officeart/2005/8/layout/hierarchy1"/>
    <dgm:cxn modelId="{EC98A3D6-8EA9-4896-A0A9-40F1F3AB49B6}" type="presParOf" srcId="{A7A8B793-558D-4CC2-AC1F-32244946ABF6}" destId="{D1F9D75A-5EDC-4DE3-832A-9FCBA73F2C62}" srcOrd="1" destOrd="0" presId="urn:microsoft.com/office/officeart/2005/8/layout/hierarchy1"/>
    <dgm:cxn modelId="{5E456B7E-FBBD-45F4-BC73-13E96861ACB3}" type="presParOf" srcId="{D1F9D75A-5EDC-4DE3-832A-9FCBA73F2C62}" destId="{B3A480AE-3ECD-478A-935F-61246A62AAB3}" srcOrd="0" destOrd="0" presId="urn:microsoft.com/office/officeart/2005/8/layout/hierarchy1"/>
    <dgm:cxn modelId="{31BCFC32-1230-41EE-8891-7C75726B0C8E}" type="presParOf" srcId="{B3A480AE-3ECD-478A-935F-61246A62AAB3}" destId="{731C5455-0F4E-4503-9EB2-AA2FE50E8BCA}" srcOrd="0" destOrd="0" presId="urn:microsoft.com/office/officeart/2005/8/layout/hierarchy1"/>
    <dgm:cxn modelId="{C73C240A-33E2-4CB4-A6E9-3646C446DEEF}" type="presParOf" srcId="{B3A480AE-3ECD-478A-935F-61246A62AAB3}" destId="{C408B21B-59FA-4FD1-8CBB-B3D72869D36B}" srcOrd="1" destOrd="0" presId="urn:microsoft.com/office/officeart/2005/8/layout/hierarchy1"/>
    <dgm:cxn modelId="{E52ACBEC-31E3-41ED-AA95-1444468D9BEA}" type="presParOf" srcId="{D1F9D75A-5EDC-4DE3-832A-9FCBA73F2C62}" destId="{262436DB-6CFF-47FF-8FFA-BB1929366664}" srcOrd="1" destOrd="0" presId="urn:microsoft.com/office/officeart/2005/8/layout/hierarchy1"/>
    <dgm:cxn modelId="{81642665-E503-4BE4-8187-9846478EC793}" type="presParOf" srcId="{262436DB-6CFF-47FF-8FFA-BB1929366664}" destId="{D676D233-2708-4BCA-A6DA-84558E745227}" srcOrd="0" destOrd="0" presId="urn:microsoft.com/office/officeart/2005/8/layout/hierarchy1"/>
    <dgm:cxn modelId="{17CB66D8-4BF4-4936-9AB8-1442B5316C06}" type="presParOf" srcId="{262436DB-6CFF-47FF-8FFA-BB1929366664}" destId="{5F3D3C41-EF4D-4F2D-AC07-B7E6C4C69071}" srcOrd="1" destOrd="0" presId="urn:microsoft.com/office/officeart/2005/8/layout/hierarchy1"/>
    <dgm:cxn modelId="{5A187E35-AA51-473E-B52B-DB0AF7723E98}" type="presParOf" srcId="{5F3D3C41-EF4D-4F2D-AC07-B7E6C4C69071}" destId="{F7D42F99-077B-4467-8DE8-AC5B3D47D1BD}" srcOrd="0" destOrd="0" presId="urn:microsoft.com/office/officeart/2005/8/layout/hierarchy1"/>
    <dgm:cxn modelId="{A0F51188-1E48-4E82-8538-F3574D62F47B}" type="presParOf" srcId="{F7D42F99-077B-4467-8DE8-AC5B3D47D1BD}" destId="{98E67FAC-4096-44B8-85CD-E3A2C0C93B9D}" srcOrd="0" destOrd="0" presId="urn:microsoft.com/office/officeart/2005/8/layout/hierarchy1"/>
    <dgm:cxn modelId="{6007A567-BBB1-4710-87ED-BBAB54DCE7BC}" type="presParOf" srcId="{F7D42F99-077B-4467-8DE8-AC5B3D47D1BD}" destId="{477E7C4C-911B-4955-9877-34CE06979D0D}" srcOrd="1" destOrd="0" presId="urn:microsoft.com/office/officeart/2005/8/layout/hierarchy1"/>
    <dgm:cxn modelId="{B769A4AF-383F-4733-9FA4-2A679F0F9AF0}" type="presParOf" srcId="{5F3D3C41-EF4D-4F2D-AC07-B7E6C4C69071}" destId="{3CE668F5-2473-42E1-88F9-002285561DA9}" srcOrd="1" destOrd="0" presId="urn:microsoft.com/office/officeart/2005/8/layout/hierarchy1"/>
    <dgm:cxn modelId="{55FBBB33-1B85-445C-9F82-14158FB0417B}" type="presParOf" srcId="{262436DB-6CFF-47FF-8FFA-BB1929366664}" destId="{5A20345D-28F2-4C6C-8835-EC7ACCBBB7A6}" srcOrd="2" destOrd="0" presId="urn:microsoft.com/office/officeart/2005/8/layout/hierarchy1"/>
    <dgm:cxn modelId="{56232D04-6AC3-4A59-BDC9-AE512C3C536D}" type="presParOf" srcId="{262436DB-6CFF-47FF-8FFA-BB1929366664}" destId="{568EAE3D-C185-40DA-8FF6-C2260D0DFD63}" srcOrd="3" destOrd="0" presId="urn:microsoft.com/office/officeart/2005/8/layout/hierarchy1"/>
    <dgm:cxn modelId="{6F3F2BB5-C198-4789-B448-880F4327FB5B}" type="presParOf" srcId="{568EAE3D-C185-40DA-8FF6-C2260D0DFD63}" destId="{E5EEEED7-615D-4B7D-A0D2-094CB526781B}" srcOrd="0" destOrd="0" presId="urn:microsoft.com/office/officeart/2005/8/layout/hierarchy1"/>
    <dgm:cxn modelId="{21EAAD0F-9AF3-474F-89DF-02ED1690D9A8}" type="presParOf" srcId="{E5EEEED7-615D-4B7D-A0D2-094CB526781B}" destId="{82EC6250-AD2F-4540-9195-B12D74FA9BC1}" srcOrd="0" destOrd="0" presId="urn:microsoft.com/office/officeart/2005/8/layout/hierarchy1"/>
    <dgm:cxn modelId="{9F248E49-C6C4-46FE-BC41-D3133D32681F}" type="presParOf" srcId="{E5EEEED7-615D-4B7D-A0D2-094CB526781B}" destId="{98EAAB52-8125-421C-A807-972A636EC36D}" srcOrd="1" destOrd="0" presId="urn:microsoft.com/office/officeart/2005/8/layout/hierarchy1"/>
    <dgm:cxn modelId="{34E05043-B7E7-447A-A27F-A302C2C69DD5}" type="presParOf" srcId="{568EAE3D-C185-40DA-8FF6-C2260D0DFD63}" destId="{AC35A781-2E7B-4CD3-9DF4-BB97F0A34118}" srcOrd="1" destOrd="0" presId="urn:microsoft.com/office/officeart/2005/8/layout/hierarchy1"/>
    <dgm:cxn modelId="{DF5FBEF8-D855-4488-9E61-711D31646A2E}" type="presParOf" srcId="{A7A8B793-558D-4CC2-AC1F-32244946ABF6}" destId="{9759893B-15D8-4CA5-9D11-7760F3607CA1}" srcOrd="2" destOrd="0" presId="urn:microsoft.com/office/officeart/2005/8/layout/hierarchy1"/>
    <dgm:cxn modelId="{15EFC83F-4D6D-4DF3-A5E6-881996AC54E2}" type="presParOf" srcId="{A7A8B793-558D-4CC2-AC1F-32244946ABF6}" destId="{A7F56BB6-DA0A-4DE8-883D-2F9848E56F2D}" srcOrd="3" destOrd="0" presId="urn:microsoft.com/office/officeart/2005/8/layout/hierarchy1"/>
    <dgm:cxn modelId="{4BA2EA6E-5D2D-4BC1-B85C-273DCD02B36D}" type="presParOf" srcId="{A7F56BB6-DA0A-4DE8-883D-2F9848E56F2D}" destId="{E4F4372B-DA7C-4C43-A8BC-D385E6A5A122}" srcOrd="0" destOrd="0" presId="urn:microsoft.com/office/officeart/2005/8/layout/hierarchy1"/>
    <dgm:cxn modelId="{B289B5C2-C968-49B8-9CD2-5ABC6B00878D}" type="presParOf" srcId="{E4F4372B-DA7C-4C43-A8BC-D385E6A5A122}" destId="{9A701929-5571-4DE7-AE20-54E796EBEDD0}" srcOrd="0" destOrd="0" presId="urn:microsoft.com/office/officeart/2005/8/layout/hierarchy1"/>
    <dgm:cxn modelId="{F87E4DD2-89FE-423D-AF89-5E68B6FCE7BD}" type="presParOf" srcId="{E4F4372B-DA7C-4C43-A8BC-D385E6A5A122}" destId="{62D298C0-9D07-4A56-84F7-186F64F6A7AA}" srcOrd="1" destOrd="0" presId="urn:microsoft.com/office/officeart/2005/8/layout/hierarchy1"/>
    <dgm:cxn modelId="{74516BCE-E9C2-4DD7-8FCD-6F747C743B2C}" type="presParOf" srcId="{A7F56BB6-DA0A-4DE8-883D-2F9848E56F2D}" destId="{4F8C0072-52BB-465C-8549-EB89865F5E97}" srcOrd="1" destOrd="0" presId="urn:microsoft.com/office/officeart/2005/8/layout/hierarchy1"/>
    <dgm:cxn modelId="{0C8F7B49-89A1-4C3C-9CDD-0254D6052BF6}" type="presParOf" srcId="{4F8C0072-52BB-465C-8549-EB89865F5E97}" destId="{A2D1A86C-F218-4A1C-AF41-13384701E855}" srcOrd="0" destOrd="0" presId="urn:microsoft.com/office/officeart/2005/8/layout/hierarchy1"/>
    <dgm:cxn modelId="{EC2EB673-930F-4547-9837-49B99460490C}" type="presParOf" srcId="{4F8C0072-52BB-465C-8549-EB89865F5E97}" destId="{161BA573-7B76-443A-B701-552547463CF9}" srcOrd="1" destOrd="0" presId="urn:microsoft.com/office/officeart/2005/8/layout/hierarchy1"/>
    <dgm:cxn modelId="{BF910CC6-3AE7-4D5E-BE9D-7A0BAE1E2288}" type="presParOf" srcId="{161BA573-7B76-443A-B701-552547463CF9}" destId="{08581E2C-ACF2-4CAF-9318-BD4915385F3D}" srcOrd="0" destOrd="0" presId="urn:microsoft.com/office/officeart/2005/8/layout/hierarchy1"/>
    <dgm:cxn modelId="{A742FFF1-7B55-4157-9183-5584C19E1012}" type="presParOf" srcId="{08581E2C-ACF2-4CAF-9318-BD4915385F3D}" destId="{61C286D8-60BB-4DEC-8502-837EC52F425A}" srcOrd="0" destOrd="0" presId="urn:microsoft.com/office/officeart/2005/8/layout/hierarchy1"/>
    <dgm:cxn modelId="{B38A2C5C-418E-42CD-874F-D496312129A0}" type="presParOf" srcId="{08581E2C-ACF2-4CAF-9318-BD4915385F3D}" destId="{53EFE8C5-803A-478B-8EDA-ABB5BCD88E48}" srcOrd="1" destOrd="0" presId="urn:microsoft.com/office/officeart/2005/8/layout/hierarchy1"/>
    <dgm:cxn modelId="{89356D78-FAE7-4EFE-87A2-BE14B7C70119}" type="presParOf" srcId="{161BA573-7B76-443A-B701-552547463CF9}" destId="{6BC26B65-3D36-47B7-BDF1-CAEE9381265C}" srcOrd="1" destOrd="0" presId="urn:microsoft.com/office/officeart/2005/8/layout/hierarchy1"/>
    <dgm:cxn modelId="{360C2B5E-8F2D-4024-90D9-1502DC48D5D7}" type="presParOf" srcId="{4F8C0072-52BB-465C-8549-EB89865F5E97}" destId="{7E3CDA3F-2C18-4B65-A3C4-B199C14D5D00}" srcOrd="2" destOrd="0" presId="urn:microsoft.com/office/officeart/2005/8/layout/hierarchy1"/>
    <dgm:cxn modelId="{EA40EB5B-900E-49F5-9624-1D3F48EDEF65}" type="presParOf" srcId="{4F8C0072-52BB-465C-8549-EB89865F5E97}" destId="{DD1789DF-D8B0-4A5F-B9FF-D2E267BE4108}" srcOrd="3" destOrd="0" presId="urn:microsoft.com/office/officeart/2005/8/layout/hierarchy1"/>
    <dgm:cxn modelId="{E53A765D-7BFB-4DE4-BE59-22FF01683FFA}" type="presParOf" srcId="{DD1789DF-D8B0-4A5F-B9FF-D2E267BE4108}" destId="{C98E723F-F72A-46AC-A8E8-50A42D13879D}" srcOrd="0" destOrd="0" presId="urn:microsoft.com/office/officeart/2005/8/layout/hierarchy1"/>
    <dgm:cxn modelId="{6BBC0620-8C68-4C33-ACB0-1B0530D26DAE}" type="presParOf" srcId="{C98E723F-F72A-46AC-A8E8-50A42D13879D}" destId="{46A0FC18-0763-4576-83C3-8D7A52AB0700}" srcOrd="0" destOrd="0" presId="urn:microsoft.com/office/officeart/2005/8/layout/hierarchy1"/>
    <dgm:cxn modelId="{44CE45B5-AC39-4EAF-B5C2-FCA42C4E2BAD}" type="presParOf" srcId="{C98E723F-F72A-46AC-A8E8-50A42D13879D}" destId="{F3D2F891-04B0-4985-B8C6-FB6399CC4026}" srcOrd="1" destOrd="0" presId="urn:microsoft.com/office/officeart/2005/8/layout/hierarchy1"/>
    <dgm:cxn modelId="{EC4326A0-6375-4B3B-AE97-45C8069022BA}" type="presParOf" srcId="{DD1789DF-D8B0-4A5F-B9FF-D2E267BE4108}" destId="{0AAE2972-3A17-423E-A828-36414B7564B3}"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23DBC5E-2320-4ABB-9C20-8FCAD8F51822}" type="doc">
      <dgm:prSet loTypeId="urn:microsoft.com/office/officeart/2005/8/layout/radial4" loCatId="relationship" qsTypeId="urn:microsoft.com/office/officeart/2005/8/quickstyle/simple4" qsCatId="simple" csTypeId="urn:microsoft.com/office/officeart/2005/8/colors/colorful2" csCatId="colorful" phldr="1"/>
      <dgm:spPr/>
      <dgm:t>
        <a:bodyPr/>
        <a:lstStyle/>
        <a:p>
          <a:endParaRPr lang="en-US"/>
        </a:p>
      </dgm:t>
    </dgm:pt>
    <dgm:pt modelId="{F047F2AF-184C-48A4-9786-489D53ED1280}">
      <dgm:prSet phldrT="[Text]" custT="1"/>
      <dgm:spPr>
        <a:xfrm>
          <a:off x="2633673" y="1047913"/>
          <a:ext cx="878271" cy="87827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200" b="1">
              <a:solidFill>
                <a:sysClr val="window" lastClr="FFFFFF"/>
              </a:solidFill>
              <a:latin typeface="Times New Roman" pitchFamily="18" charset="0"/>
              <a:ea typeface="+mn-ea"/>
              <a:cs typeface="Times New Roman" pitchFamily="18" charset="0"/>
            </a:rPr>
            <a:t>BB's Initiative</a:t>
          </a:r>
        </a:p>
      </dgm:t>
    </dgm:pt>
    <dgm:pt modelId="{CC9701B7-9A7D-42CD-8D87-CC8BD1DEC133}" type="parTrans" cxnId="{C322C3FC-D3A2-464C-8E91-D0855A839F88}">
      <dgm:prSet/>
      <dgm:spPr/>
      <dgm:t>
        <a:bodyPr/>
        <a:lstStyle/>
        <a:p>
          <a:pPr algn="ctr"/>
          <a:endParaRPr lang="en-US"/>
        </a:p>
      </dgm:t>
    </dgm:pt>
    <dgm:pt modelId="{D4A2E32D-8A20-434E-B2B5-6AC615521D96}" type="sibTrans" cxnId="{C322C3FC-D3A2-464C-8E91-D0855A839F88}">
      <dgm:prSet/>
      <dgm:spPr/>
      <dgm:t>
        <a:bodyPr/>
        <a:lstStyle/>
        <a:p>
          <a:pPr algn="ctr"/>
          <a:endParaRPr lang="en-US"/>
        </a:p>
      </dgm:t>
    </dgm:pt>
    <dgm:pt modelId="{F23A672B-1E25-431C-B5AA-34850BEA7295}">
      <dgm:prSet phldrT="[Text]" custT="1"/>
      <dgm:spPr>
        <a:xfrm>
          <a:off x="1711326" y="492097"/>
          <a:ext cx="834357" cy="667486"/>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200">
              <a:solidFill>
                <a:sysClr val="window" lastClr="FFFFFF"/>
              </a:solidFill>
              <a:latin typeface="Times New Roman" pitchFamily="18" charset="0"/>
              <a:ea typeface="+mn-ea"/>
              <a:cs typeface="Times New Roman" pitchFamily="18" charset="0"/>
            </a:rPr>
            <a:t>Policy Support</a:t>
          </a:r>
        </a:p>
      </dgm:t>
    </dgm:pt>
    <dgm:pt modelId="{DFA13C06-B030-456E-9C50-F6869343E508}" type="parTrans" cxnId="{F2C12BAD-AACB-49D9-A18A-7D69D62495BA}">
      <dgm:prSet/>
      <dgm:spPr>
        <a:xfrm rot="12900000">
          <a:off x="2067523" y="894095"/>
          <a:ext cx="674396" cy="250307"/>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endParaRPr lang="en-US"/>
        </a:p>
      </dgm:t>
    </dgm:pt>
    <dgm:pt modelId="{DD7F21A6-6DE2-47FE-A8A0-3AE350DA5E8B}" type="sibTrans" cxnId="{F2C12BAD-AACB-49D9-A18A-7D69D62495BA}">
      <dgm:prSet/>
      <dgm:spPr/>
      <dgm:t>
        <a:bodyPr/>
        <a:lstStyle/>
        <a:p>
          <a:pPr algn="ctr"/>
          <a:endParaRPr lang="en-US"/>
        </a:p>
      </dgm:t>
    </dgm:pt>
    <dgm:pt modelId="{C112F65A-7124-474B-87AC-A21238F1A5AA}">
      <dgm:prSet phldrT="[Text]" custT="1"/>
      <dgm:spPr>
        <a:xfrm>
          <a:off x="2655630" y="523"/>
          <a:ext cx="834357" cy="667486"/>
        </a:xfrm>
        <a:gradFill rotWithShape="0">
          <a:gsLst>
            <a:gs pos="0">
              <a:srgbClr val="C0504D">
                <a:hueOff val="2340759"/>
                <a:satOff val="-2919"/>
                <a:lumOff val="686"/>
                <a:alphaOff val="0"/>
                <a:shade val="51000"/>
                <a:satMod val="130000"/>
              </a:srgbClr>
            </a:gs>
            <a:gs pos="80000">
              <a:srgbClr val="C0504D">
                <a:hueOff val="2340759"/>
                <a:satOff val="-2919"/>
                <a:lumOff val="686"/>
                <a:alphaOff val="0"/>
                <a:shade val="93000"/>
                <a:satMod val="130000"/>
              </a:srgbClr>
            </a:gs>
            <a:gs pos="100000">
              <a:srgbClr val="C0504D">
                <a:hueOff val="2340759"/>
                <a:satOff val="-2919"/>
                <a:lumOff val="686"/>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200">
              <a:solidFill>
                <a:sysClr val="window" lastClr="FFFFFF"/>
              </a:solidFill>
              <a:latin typeface="Times New Roman" pitchFamily="18" charset="0"/>
              <a:ea typeface="+mn-ea"/>
              <a:cs typeface="Times New Roman" pitchFamily="18" charset="0"/>
            </a:rPr>
            <a:t>Refinance Line</a:t>
          </a:r>
        </a:p>
      </dgm:t>
    </dgm:pt>
    <dgm:pt modelId="{89D813AF-B67F-4D23-A269-65716A3F8C37}" type="parTrans" cxnId="{DFC08248-97FE-4403-B233-A2AB9314C636}">
      <dgm:prSet/>
      <dgm:spPr>
        <a:xfrm rot="16200000">
          <a:off x="2735611" y="546311"/>
          <a:ext cx="674396" cy="250307"/>
        </a:xfrm>
        <a:gradFill rotWithShape="0">
          <a:gsLst>
            <a:gs pos="0">
              <a:srgbClr val="C0504D">
                <a:hueOff val="2340759"/>
                <a:satOff val="-2919"/>
                <a:lumOff val="686"/>
                <a:alphaOff val="0"/>
                <a:shade val="51000"/>
                <a:satMod val="130000"/>
              </a:srgbClr>
            </a:gs>
            <a:gs pos="80000">
              <a:srgbClr val="C0504D">
                <a:hueOff val="2340759"/>
                <a:satOff val="-2919"/>
                <a:lumOff val="686"/>
                <a:alphaOff val="0"/>
                <a:shade val="93000"/>
                <a:satMod val="130000"/>
              </a:srgbClr>
            </a:gs>
            <a:gs pos="100000">
              <a:srgbClr val="C0504D">
                <a:hueOff val="2340759"/>
                <a:satOff val="-2919"/>
                <a:lumOff val="686"/>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endParaRPr lang="en-US"/>
        </a:p>
      </dgm:t>
    </dgm:pt>
    <dgm:pt modelId="{926E9915-0D57-4542-A99B-F35101F1D3C9}" type="sibTrans" cxnId="{DFC08248-97FE-4403-B233-A2AB9314C636}">
      <dgm:prSet/>
      <dgm:spPr/>
      <dgm:t>
        <a:bodyPr/>
        <a:lstStyle/>
        <a:p>
          <a:pPr algn="ctr"/>
          <a:endParaRPr lang="en-US"/>
        </a:p>
      </dgm:t>
    </dgm:pt>
    <dgm:pt modelId="{B200D44C-815D-4029-A075-14F08ABC357F}">
      <dgm:prSet phldrT="[Text]" custT="1"/>
      <dgm:spPr>
        <a:xfrm>
          <a:off x="3599935" y="492097"/>
          <a:ext cx="834357" cy="667486"/>
        </a:xfr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200">
              <a:solidFill>
                <a:sysClr val="window" lastClr="FFFFFF"/>
              </a:solidFill>
              <a:latin typeface="Times New Roman" pitchFamily="18" charset="0"/>
              <a:ea typeface="+mn-ea"/>
              <a:cs typeface="Times New Roman" pitchFamily="18" charset="0"/>
            </a:rPr>
            <a:t>In-house Greeen Activities</a:t>
          </a:r>
        </a:p>
      </dgm:t>
    </dgm:pt>
    <dgm:pt modelId="{BBD34A18-0B5F-4BD2-936D-F98C41834CE5}" type="parTrans" cxnId="{0207E5B6-5A6A-4057-B0A3-D087301014B9}">
      <dgm:prSet/>
      <dgm:spPr>
        <a:xfrm rot="19500000">
          <a:off x="3403698" y="894095"/>
          <a:ext cx="674396" cy="250307"/>
        </a:xfr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endParaRPr lang="en-US"/>
        </a:p>
      </dgm:t>
    </dgm:pt>
    <dgm:pt modelId="{1CA8E5E8-7865-4205-8D20-69C11BD5C15F}" type="sibTrans" cxnId="{0207E5B6-5A6A-4057-B0A3-D087301014B9}">
      <dgm:prSet/>
      <dgm:spPr/>
      <dgm:t>
        <a:bodyPr/>
        <a:lstStyle/>
        <a:p>
          <a:pPr algn="ctr"/>
          <a:endParaRPr lang="en-US"/>
        </a:p>
      </dgm:t>
    </dgm:pt>
    <dgm:pt modelId="{B281F2F0-0166-4A31-95ED-12DD94F6D5F6}" type="pres">
      <dgm:prSet presAssocID="{F23DBC5E-2320-4ABB-9C20-8FCAD8F51822}" presName="cycle" presStyleCnt="0">
        <dgm:presLayoutVars>
          <dgm:chMax val="1"/>
          <dgm:dir/>
          <dgm:animLvl val="ctr"/>
          <dgm:resizeHandles val="exact"/>
        </dgm:presLayoutVars>
      </dgm:prSet>
      <dgm:spPr/>
      <dgm:t>
        <a:bodyPr/>
        <a:lstStyle/>
        <a:p>
          <a:endParaRPr lang="en-US"/>
        </a:p>
      </dgm:t>
    </dgm:pt>
    <dgm:pt modelId="{A64F7A3C-2917-420D-8B7E-1EDA58D37879}" type="pres">
      <dgm:prSet presAssocID="{F047F2AF-184C-48A4-9786-489D53ED1280}" presName="centerShape" presStyleLbl="node0" presStyleIdx="0" presStyleCnt="1"/>
      <dgm:spPr>
        <a:prstGeom prst="ellipse">
          <a:avLst/>
        </a:prstGeom>
      </dgm:spPr>
      <dgm:t>
        <a:bodyPr/>
        <a:lstStyle/>
        <a:p>
          <a:endParaRPr lang="en-US"/>
        </a:p>
      </dgm:t>
    </dgm:pt>
    <dgm:pt modelId="{1FE6859B-606A-473A-944B-F1E739A40AE0}" type="pres">
      <dgm:prSet presAssocID="{DFA13C06-B030-456E-9C50-F6869343E508}" presName="parTrans" presStyleLbl="bgSibTrans2D1" presStyleIdx="0" presStyleCnt="3"/>
      <dgm:spPr>
        <a:prstGeom prst="leftArrow">
          <a:avLst>
            <a:gd name="adj1" fmla="val 60000"/>
            <a:gd name="adj2" fmla="val 50000"/>
          </a:avLst>
        </a:prstGeom>
      </dgm:spPr>
      <dgm:t>
        <a:bodyPr/>
        <a:lstStyle/>
        <a:p>
          <a:endParaRPr lang="en-US"/>
        </a:p>
      </dgm:t>
    </dgm:pt>
    <dgm:pt modelId="{6F09B18F-409E-48B3-8670-D50AE9AA2A64}" type="pres">
      <dgm:prSet presAssocID="{F23A672B-1E25-431C-B5AA-34850BEA7295}"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5909BCF2-6365-4568-B4A3-619DF320ED7A}" type="pres">
      <dgm:prSet presAssocID="{89D813AF-B67F-4D23-A269-65716A3F8C37}" presName="parTrans" presStyleLbl="bgSibTrans2D1" presStyleIdx="1" presStyleCnt="3"/>
      <dgm:spPr>
        <a:prstGeom prst="leftArrow">
          <a:avLst>
            <a:gd name="adj1" fmla="val 60000"/>
            <a:gd name="adj2" fmla="val 50000"/>
          </a:avLst>
        </a:prstGeom>
      </dgm:spPr>
      <dgm:t>
        <a:bodyPr/>
        <a:lstStyle/>
        <a:p>
          <a:endParaRPr lang="en-US"/>
        </a:p>
      </dgm:t>
    </dgm:pt>
    <dgm:pt modelId="{8F36E437-FEA4-4FA0-AA54-B3021A678203}" type="pres">
      <dgm:prSet presAssocID="{C112F65A-7124-474B-87AC-A21238F1A5AA}"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D8253ED9-E455-4097-A863-21C298C935DD}" type="pres">
      <dgm:prSet presAssocID="{BBD34A18-0B5F-4BD2-936D-F98C41834CE5}" presName="parTrans" presStyleLbl="bgSibTrans2D1" presStyleIdx="2" presStyleCnt="3"/>
      <dgm:spPr>
        <a:prstGeom prst="leftArrow">
          <a:avLst>
            <a:gd name="adj1" fmla="val 60000"/>
            <a:gd name="adj2" fmla="val 50000"/>
          </a:avLst>
        </a:prstGeom>
      </dgm:spPr>
      <dgm:t>
        <a:bodyPr/>
        <a:lstStyle/>
        <a:p>
          <a:endParaRPr lang="en-US"/>
        </a:p>
      </dgm:t>
    </dgm:pt>
    <dgm:pt modelId="{7406FFC2-5CE8-4415-BF71-4C1E99B6F4C5}" type="pres">
      <dgm:prSet presAssocID="{B200D44C-815D-4029-A075-14F08ABC357F}"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98C67EA0-9A52-47BE-9715-417DDAF35C9D}" type="presOf" srcId="{89D813AF-B67F-4D23-A269-65716A3F8C37}" destId="{5909BCF2-6365-4568-B4A3-619DF320ED7A}" srcOrd="0" destOrd="0" presId="urn:microsoft.com/office/officeart/2005/8/layout/radial4"/>
    <dgm:cxn modelId="{DFC08248-97FE-4403-B233-A2AB9314C636}" srcId="{F047F2AF-184C-48A4-9786-489D53ED1280}" destId="{C112F65A-7124-474B-87AC-A21238F1A5AA}" srcOrd="1" destOrd="0" parTransId="{89D813AF-B67F-4D23-A269-65716A3F8C37}" sibTransId="{926E9915-0D57-4542-A99B-F35101F1D3C9}"/>
    <dgm:cxn modelId="{4E4BE1B0-073A-44A6-8B35-208AAA97C4CA}" type="presOf" srcId="{DFA13C06-B030-456E-9C50-F6869343E508}" destId="{1FE6859B-606A-473A-944B-F1E739A40AE0}" srcOrd="0" destOrd="0" presId="urn:microsoft.com/office/officeart/2005/8/layout/radial4"/>
    <dgm:cxn modelId="{845975CF-B5C1-482E-94B3-B98B8F044039}" type="presOf" srcId="{BBD34A18-0B5F-4BD2-936D-F98C41834CE5}" destId="{D8253ED9-E455-4097-A863-21C298C935DD}" srcOrd="0" destOrd="0" presId="urn:microsoft.com/office/officeart/2005/8/layout/radial4"/>
    <dgm:cxn modelId="{972998D0-DC9F-4B6F-9E0D-C04099157E0C}" type="presOf" srcId="{F047F2AF-184C-48A4-9786-489D53ED1280}" destId="{A64F7A3C-2917-420D-8B7E-1EDA58D37879}" srcOrd="0" destOrd="0" presId="urn:microsoft.com/office/officeart/2005/8/layout/radial4"/>
    <dgm:cxn modelId="{07EE4E66-4016-43AF-9243-08891A6DF6A5}" type="presOf" srcId="{C112F65A-7124-474B-87AC-A21238F1A5AA}" destId="{8F36E437-FEA4-4FA0-AA54-B3021A678203}" srcOrd="0" destOrd="0" presId="urn:microsoft.com/office/officeart/2005/8/layout/radial4"/>
    <dgm:cxn modelId="{C322C3FC-D3A2-464C-8E91-D0855A839F88}" srcId="{F23DBC5E-2320-4ABB-9C20-8FCAD8F51822}" destId="{F047F2AF-184C-48A4-9786-489D53ED1280}" srcOrd="0" destOrd="0" parTransId="{CC9701B7-9A7D-42CD-8D87-CC8BD1DEC133}" sibTransId="{D4A2E32D-8A20-434E-B2B5-6AC615521D96}"/>
    <dgm:cxn modelId="{279651A5-CCB3-4803-8D0B-2D800FB2099F}" type="presOf" srcId="{F23DBC5E-2320-4ABB-9C20-8FCAD8F51822}" destId="{B281F2F0-0166-4A31-95ED-12DD94F6D5F6}" srcOrd="0" destOrd="0" presId="urn:microsoft.com/office/officeart/2005/8/layout/radial4"/>
    <dgm:cxn modelId="{03197514-5C62-4707-8F07-B1D3EF60E7D1}" type="presOf" srcId="{B200D44C-815D-4029-A075-14F08ABC357F}" destId="{7406FFC2-5CE8-4415-BF71-4C1E99B6F4C5}" srcOrd="0" destOrd="0" presId="urn:microsoft.com/office/officeart/2005/8/layout/radial4"/>
    <dgm:cxn modelId="{2E832CB7-A69D-44A7-B849-EF87D211989D}" type="presOf" srcId="{F23A672B-1E25-431C-B5AA-34850BEA7295}" destId="{6F09B18F-409E-48B3-8670-D50AE9AA2A64}" srcOrd="0" destOrd="0" presId="urn:microsoft.com/office/officeart/2005/8/layout/radial4"/>
    <dgm:cxn modelId="{0207E5B6-5A6A-4057-B0A3-D087301014B9}" srcId="{F047F2AF-184C-48A4-9786-489D53ED1280}" destId="{B200D44C-815D-4029-A075-14F08ABC357F}" srcOrd="2" destOrd="0" parTransId="{BBD34A18-0B5F-4BD2-936D-F98C41834CE5}" sibTransId="{1CA8E5E8-7865-4205-8D20-69C11BD5C15F}"/>
    <dgm:cxn modelId="{F2C12BAD-AACB-49D9-A18A-7D69D62495BA}" srcId="{F047F2AF-184C-48A4-9786-489D53ED1280}" destId="{F23A672B-1E25-431C-B5AA-34850BEA7295}" srcOrd="0" destOrd="0" parTransId="{DFA13C06-B030-456E-9C50-F6869343E508}" sibTransId="{DD7F21A6-6DE2-47FE-A8A0-3AE350DA5E8B}"/>
    <dgm:cxn modelId="{985F9636-F8D4-4D88-B22B-723B18F2828F}" type="presParOf" srcId="{B281F2F0-0166-4A31-95ED-12DD94F6D5F6}" destId="{A64F7A3C-2917-420D-8B7E-1EDA58D37879}" srcOrd="0" destOrd="0" presId="urn:microsoft.com/office/officeart/2005/8/layout/radial4"/>
    <dgm:cxn modelId="{9D977F3A-CA80-4710-9A95-F11B67ADD24C}" type="presParOf" srcId="{B281F2F0-0166-4A31-95ED-12DD94F6D5F6}" destId="{1FE6859B-606A-473A-944B-F1E739A40AE0}" srcOrd="1" destOrd="0" presId="urn:microsoft.com/office/officeart/2005/8/layout/radial4"/>
    <dgm:cxn modelId="{37B86306-2F16-434B-86EB-F60F6E460CC8}" type="presParOf" srcId="{B281F2F0-0166-4A31-95ED-12DD94F6D5F6}" destId="{6F09B18F-409E-48B3-8670-D50AE9AA2A64}" srcOrd="2" destOrd="0" presId="urn:microsoft.com/office/officeart/2005/8/layout/radial4"/>
    <dgm:cxn modelId="{2D1C5FF5-0FF5-4682-B335-50926ECF36FC}" type="presParOf" srcId="{B281F2F0-0166-4A31-95ED-12DD94F6D5F6}" destId="{5909BCF2-6365-4568-B4A3-619DF320ED7A}" srcOrd="3" destOrd="0" presId="urn:microsoft.com/office/officeart/2005/8/layout/radial4"/>
    <dgm:cxn modelId="{4643FC48-7681-4947-AE11-8D12CFB3024E}" type="presParOf" srcId="{B281F2F0-0166-4A31-95ED-12DD94F6D5F6}" destId="{8F36E437-FEA4-4FA0-AA54-B3021A678203}" srcOrd="4" destOrd="0" presId="urn:microsoft.com/office/officeart/2005/8/layout/radial4"/>
    <dgm:cxn modelId="{FBF9CC30-1217-46C4-A7F1-4B378F5C5CD2}" type="presParOf" srcId="{B281F2F0-0166-4A31-95ED-12DD94F6D5F6}" destId="{D8253ED9-E455-4097-A863-21C298C935DD}" srcOrd="5" destOrd="0" presId="urn:microsoft.com/office/officeart/2005/8/layout/radial4"/>
    <dgm:cxn modelId="{C6EE6C89-AA1F-40B4-822E-261E01A93EEA}" type="presParOf" srcId="{B281F2F0-0166-4A31-95ED-12DD94F6D5F6}" destId="{7406FFC2-5CE8-4415-BF71-4C1E99B6F4C5}" srcOrd="6" destOrd="0" presId="urn:microsoft.com/office/officeart/2005/8/layout/radial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A74C546-6572-4007-98D7-DD80B270BE59}" type="doc">
      <dgm:prSet loTypeId="urn:microsoft.com/office/officeart/2005/8/layout/hierarchy2" loCatId="hierarchy" qsTypeId="urn:microsoft.com/office/officeart/2005/8/quickstyle/simple4" qsCatId="simple" csTypeId="urn:microsoft.com/office/officeart/2005/8/colors/colorful3" csCatId="colorful" phldr="1"/>
      <dgm:spPr/>
      <dgm:t>
        <a:bodyPr/>
        <a:lstStyle/>
        <a:p>
          <a:endParaRPr lang="en-US"/>
        </a:p>
      </dgm:t>
    </dgm:pt>
    <dgm:pt modelId="{49A8F281-6931-4F0C-9BFC-853CBB8E97E8}">
      <dgm:prSet phldrT="[Text]" custT="1">
        <dgm:style>
          <a:lnRef idx="1">
            <a:schemeClr val="accent3"/>
          </a:lnRef>
          <a:fillRef idx="3">
            <a:schemeClr val="accent3"/>
          </a:fillRef>
          <a:effectRef idx="2">
            <a:schemeClr val="accent3"/>
          </a:effectRef>
          <a:fontRef idx="minor">
            <a:schemeClr val="lt1"/>
          </a:fontRef>
        </dgm:style>
      </dgm:prSet>
      <dgm:spPr>
        <a:xfrm>
          <a:off x="1516377" y="1790700"/>
          <a:ext cx="670559" cy="588952"/>
        </a:xfr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dgm:spPr>
      <dgm:t>
        <a:bodyPr/>
        <a:lstStyle/>
        <a:p>
          <a:r>
            <a:rPr lang="en-US" sz="1200" b="1">
              <a:solidFill>
                <a:sysClr val="window" lastClr="FFFFFF"/>
              </a:solidFill>
              <a:latin typeface="Times New Roman" pitchFamily="18" charset="0"/>
              <a:ea typeface="+mn-ea"/>
              <a:cs typeface="Times New Roman" pitchFamily="18" charset="0"/>
            </a:rPr>
            <a:t>Green Finance</a:t>
          </a:r>
        </a:p>
      </dgm:t>
    </dgm:pt>
    <dgm:pt modelId="{0D437795-C177-419F-B000-3239AED93F1F}" type="parTrans" cxnId="{38C5DD79-96E1-4886-A137-752D2FFE3EB0}">
      <dgm:prSet/>
      <dgm:spPr/>
      <dgm:t>
        <a:bodyPr/>
        <a:lstStyle/>
        <a:p>
          <a:endParaRPr lang="en-US"/>
        </a:p>
      </dgm:t>
    </dgm:pt>
    <dgm:pt modelId="{F9C0354C-406A-41F0-8763-FFA3EA0F2F62}" type="sibTrans" cxnId="{38C5DD79-96E1-4886-A137-752D2FFE3EB0}">
      <dgm:prSet/>
      <dgm:spPr/>
      <dgm:t>
        <a:bodyPr/>
        <a:lstStyle/>
        <a:p>
          <a:endParaRPr lang="en-US"/>
        </a:p>
      </dgm:t>
    </dgm:pt>
    <dgm:pt modelId="{1F7DDA76-B889-4B0E-8E39-B0C056F7E010}">
      <dgm:prSet phldrT="[Text]" custT="1">
        <dgm:style>
          <a:lnRef idx="1">
            <a:schemeClr val="accent1"/>
          </a:lnRef>
          <a:fillRef idx="3">
            <a:schemeClr val="accent1"/>
          </a:fillRef>
          <a:effectRef idx="2">
            <a:schemeClr val="accent1"/>
          </a:effectRef>
          <a:fontRef idx="minor">
            <a:schemeClr val="lt1"/>
          </a:fontRef>
        </dgm:style>
      </dgm:prSet>
      <dgm:spPr>
        <a:xfrm>
          <a:off x="2531745" y="1047750"/>
          <a:ext cx="670559" cy="556403"/>
        </a:xfr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dgm:spPr>
      <dgm:t>
        <a:bodyPr/>
        <a:lstStyle/>
        <a:p>
          <a:r>
            <a:rPr lang="en-US" sz="1000" b="0">
              <a:solidFill>
                <a:sysClr val="window" lastClr="FFFFFF"/>
              </a:solidFill>
              <a:latin typeface="Times New Roman" pitchFamily="18" charset="0"/>
              <a:ea typeface="+mn-ea"/>
              <a:cs typeface="Times New Roman" pitchFamily="18" charset="0"/>
            </a:rPr>
            <a:t>Direct Green Finance </a:t>
          </a:r>
        </a:p>
      </dgm:t>
    </dgm:pt>
    <dgm:pt modelId="{D7B0A9CB-AE80-43D5-B2C0-18D123049255}" type="parTrans" cxnId="{FC96E1B5-16FB-4027-BB2D-EA4D2553738A}">
      <dgm:prSet/>
      <dgm:spPr>
        <a:xfrm rot="17665536">
          <a:off x="1942413" y="1695905"/>
          <a:ext cx="833854" cy="19317"/>
        </a:xfrm>
        <a:noFill/>
        <a:ln w="9525" cap="flat" cmpd="sng" algn="ctr">
          <a:solidFill>
            <a:srgbClr val="8064A2">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869AFD52-C931-4F99-8669-5C48445F3804}" type="sibTrans" cxnId="{FC96E1B5-16FB-4027-BB2D-EA4D2553738A}">
      <dgm:prSet/>
      <dgm:spPr/>
      <dgm:t>
        <a:bodyPr/>
        <a:lstStyle/>
        <a:p>
          <a:endParaRPr lang="en-US"/>
        </a:p>
      </dgm:t>
    </dgm:pt>
    <dgm:pt modelId="{CDC778AB-6291-46D1-B80F-8A1255D7D00F}">
      <dgm:prSet phldrT="[Text]" custT="1">
        <dgm:style>
          <a:lnRef idx="2">
            <a:schemeClr val="accent4">
              <a:shade val="50000"/>
            </a:schemeClr>
          </a:lnRef>
          <a:fillRef idx="1">
            <a:schemeClr val="accent4"/>
          </a:fillRef>
          <a:effectRef idx="0">
            <a:schemeClr val="accent4"/>
          </a:effectRef>
          <a:fontRef idx="minor">
            <a:schemeClr val="lt1"/>
          </a:fontRef>
        </dgm:style>
      </dgm:prSet>
      <dgm:spPr>
        <a:xfrm>
          <a:off x="3470528" y="1597"/>
          <a:ext cx="670559" cy="335279"/>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Installation of ETP</a:t>
          </a:r>
        </a:p>
      </dgm:t>
    </dgm:pt>
    <dgm:pt modelId="{EE025653-FD81-4C07-B65E-5405335F2467}" type="parTrans" cxnId="{D2341A43-11AD-4A34-A5F0-6DD137E75BE7}">
      <dgm:prSet/>
      <dgm:spPr>
        <a:xfrm rot="16983315">
          <a:off x="2742713" y="737936"/>
          <a:ext cx="1187406" cy="19317"/>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299D34F-7909-41B2-81CA-61D9FC2AC912}" type="sibTrans" cxnId="{D2341A43-11AD-4A34-A5F0-6DD137E75BE7}">
      <dgm:prSet/>
      <dgm:spPr/>
      <dgm:t>
        <a:bodyPr/>
        <a:lstStyle/>
        <a:p>
          <a:endParaRPr lang="en-US"/>
        </a:p>
      </dgm:t>
    </dgm:pt>
    <dgm:pt modelId="{D64ED72F-99B0-4BF2-ACD6-B76BCF300A2F}">
      <dgm:prSet phldrT="[Text]" custT="1">
        <dgm:style>
          <a:lnRef idx="2">
            <a:schemeClr val="accent4">
              <a:shade val="50000"/>
            </a:schemeClr>
          </a:lnRef>
          <a:fillRef idx="1">
            <a:schemeClr val="accent4"/>
          </a:fillRef>
          <a:effectRef idx="0">
            <a:schemeClr val="accent4"/>
          </a:effectRef>
          <a:fontRef idx="minor">
            <a:schemeClr val="lt1"/>
          </a:fontRef>
        </dgm:style>
      </dgm:prSet>
      <dgm:spPr>
        <a:xfrm>
          <a:off x="3470528" y="387169"/>
          <a:ext cx="670559" cy="335279"/>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Bio-gas Plant</a:t>
          </a:r>
        </a:p>
      </dgm:t>
    </dgm:pt>
    <dgm:pt modelId="{C59A4AAE-2156-4539-B0EB-D29F63F78D40}" type="parTrans" cxnId="{B2AA3E64-1437-4E3B-BE11-98E1A332BEE3}">
      <dgm:prSet/>
      <dgm:spPr>
        <a:xfrm rot="17350740">
          <a:off x="2928186" y="930722"/>
          <a:ext cx="816459" cy="19317"/>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A09E791-6E65-48F8-9C5F-A43881AAF17E}" type="sibTrans" cxnId="{B2AA3E64-1437-4E3B-BE11-98E1A332BEE3}">
      <dgm:prSet/>
      <dgm:spPr/>
      <dgm:t>
        <a:bodyPr/>
        <a:lstStyle/>
        <a:p>
          <a:endParaRPr lang="en-US"/>
        </a:p>
      </dgm:t>
    </dgm:pt>
    <dgm:pt modelId="{D34F5060-12A0-4E67-83F0-5C27C78AF2D8}">
      <dgm:prSet phldrT="[Text]" custT="1">
        <dgm:style>
          <a:lnRef idx="1">
            <a:schemeClr val="accent1"/>
          </a:lnRef>
          <a:fillRef idx="3">
            <a:schemeClr val="accent1"/>
          </a:fillRef>
          <a:effectRef idx="2">
            <a:schemeClr val="accent1"/>
          </a:effectRef>
          <a:fontRef idx="minor">
            <a:schemeClr val="lt1"/>
          </a:fontRef>
        </dgm:style>
      </dgm:prSet>
      <dgm:spPr>
        <a:xfrm>
          <a:off x="2531745" y="2613875"/>
          <a:ext cx="670559" cy="508726"/>
        </a:xfr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dgm:spPr>
      <dgm:t>
        <a:bodyPr/>
        <a:lstStyle/>
        <a:p>
          <a:r>
            <a:rPr lang="en-US" sz="1000" b="0">
              <a:solidFill>
                <a:sysClr val="window" lastClr="FFFFFF"/>
              </a:solidFill>
              <a:latin typeface="Times New Roman" pitchFamily="18" charset="0"/>
              <a:ea typeface="+mn-ea"/>
              <a:cs typeface="Times New Roman" pitchFamily="18" charset="0"/>
            </a:rPr>
            <a:t>Indirect Green Finance </a:t>
          </a:r>
        </a:p>
      </dgm:t>
    </dgm:pt>
    <dgm:pt modelId="{03067A3D-BFD8-48A5-9D7C-97DD21CE7DB4}" type="parTrans" cxnId="{95FD5FB4-6851-4D1D-8A51-6358A3A3623E}">
      <dgm:prSet/>
      <dgm:spPr>
        <a:xfrm rot="3974071">
          <a:off x="1931532" y="2467049"/>
          <a:ext cx="855616" cy="19317"/>
        </a:xfrm>
        <a:noFill/>
        <a:ln w="9525" cap="flat" cmpd="sng" algn="ctr">
          <a:solidFill>
            <a:srgbClr val="8064A2">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664B035-5321-408A-B57F-A24463C24820}" type="sibTrans" cxnId="{95FD5FB4-6851-4D1D-8A51-6358A3A3623E}">
      <dgm:prSet/>
      <dgm:spPr/>
      <dgm:t>
        <a:bodyPr/>
        <a:lstStyle/>
        <a:p>
          <a:endParaRPr lang="en-US"/>
        </a:p>
      </dgm:t>
    </dgm:pt>
    <dgm:pt modelId="{02E7A6CF-EF0A-4D71-B62A-C47D0BA14BCA}">
      <dgm:prSet phldrT="[Text]" custT="1">
        <dgm:style>
          <a:lnRef idx="2">
            <a:schemeClr val="accent2">
              <a:shade val="50000"/>
            </a:schemeClr>
          </a:lnRef>
          <a:fillRef idx="1">
            <a:schemeClr val="accent2"/>
          </a:fillRef>
          <a:effectRef idx="0">
            <a:schemeClr val="accent2"/>
          </a:effectRef>
          <a:fontRef idx="minor">
            <a:schemeClr val="lt1"/>
          </a:fontRef>
        </dgm:style>
      </dgm:prSet>
      <dgm:spPr>
        <a:xfrm>
          <a:off x="3470528" y="2700599"/>
          <a:ext cx="670559" cy="335279"/>
        </a:xfrm>
        <a:solidFill>
          <a:srgbClr val="C0504D"/>
        </a:solidFill>
        <a:ln w="25400" cap="flat" cmpd="sng" algn="ctr">
          <a:solidFill>
            <a:srgbClr val="C0504D">
              <a:shade val="50000"/>
            </a:srgbClr>
          </a:solidFill>
          <a:prstDash val="solid"/>
        </a:ln>
        <a:effectLst/>
      </dgm:spPr>
      <dgm:t>
        <a:bodyPr/>
        <a:lstStyle/>
        <a:p>
          <a:r>
            <a:rPr lang="en-US" sz="900">
              <a:solidFill>
                <a:sysClr val="window" lastClr="FFFFFF"/>
              </a:solidFill>
              <a:latin typeface="Times New Roman" pitchFamily="18" charset="0"/>
              <a:ea typeface="+mn-ea"/>
              <a:cs typeface="Times New Roman" pitchFamily="18" charset="0"/>
            </a:rPr>
            <a:t>Project Financed having ETP</a:t>
          </a:r>
        </a:p>
      </dgm:t>
    </dgm:pt>
    <dgm:pt modelId="{AA8DCA47-CCB8-4475-A793-1368DD4ED0F3}" type="parTrans" cxnId="{6F8667CD-3D1B-4746-AEAF-675239824F98}">
      <dgm:prSet/>
      <dgm:spPr>
        <a:xfrm>
          <a:off x="3202304" y="2858580"/>
          <a:ext cx="268223" cy="19317"/>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DC14311-AB0E-4ABB-9328-BB484A98FB08}" type="sibTrans" cxnId="{6F8667CD-3D1B-4746-AEAF-675239824F98}">
      <dgm:prSet/>
      <dgm:spPr/>
      <dgm:t>
        <a:bodyPr/>
        <a:lstStyle/>
        <a:p>
          <a:endParaRPr lang="en-US"/>
        </a:p>
      </dgm:t>
    </dgm:pt>
    <dgm:pt modelId="{F838A106-BD4C-473A-B582-4F30C9314148}">
      <dgm:prSet custT="1">
        <dgm:style>
          <a:lnRef idx="2">
            <a:schemeClr val="accent4">
              <a:shade val="50000"/>
            </a:schemeClr>
          </a:lnRef>
          <a:fillRef idx="1">
            <a:schemeClr val="accent4"/>
          </a:fillRef>
          <a:effectRef idx="0">
            <a:schemeClr val="accent4"/>
          </a:effectRef>
          <a:fontRef idx="minor">
            <a:schemeClr val="lt1"/>
          </a:fontRef>
        </dgm:style>
      </dgm:prSet>
      <dgm:spPr>
        <a:xfrm>
          <a:off x="3470528" y="772740"/>
          <a:ext cx="670559" cy="335279"/>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Solar Panel/ Renewable Energy Plant</a:t>
          </a:r>
        </a:p>
      </dgm:t>
    </dgm:pt>
    <dgm:pt modelId="{5F2EFF9E-7DD8-4465-94F6-D56474609AD2}" type="parTrans" cxnId="{5CB88F68-35D0-4E5A-B3BF-F950F63EE1A8}">
      <dgm:prSet/>
      <dgm:spPr>
        <a:xfrm rot="18289469">
          <a:off x="3101571" y="1123508"/>
          <a:ext cx="469690" cy="19317"/>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F56A221-59DD-4612-9FA3-40FDA47F251E}" type="sibTrans" cxnId="{5CB88F68-35D0-4E5A-B3BF-F950F63EE1A8}">
      <dgm:prSet/>
      <dgm:spPr/>
      <dgm:t>
        <a:bodyPr/>
        <a:lstStyle/>
        <a:p>
          <a:endParaRPr lang="en-US"/>
        </a:p>
      </dgm:t>
    </dgm:pt>
    <dgm:pt modelId="{1474DF5B-F394-4376-AD6C-BED090CFF1C6}">
      <dgm:prSet custT="1">
        <dgm:style>
          <a:lnRef idx="2">
            <a:schemeClr val="accent4">
              <a:shade val="50000"/>
            </a:schemeClr>
          </a:lnRef>
          <a:fillRef idx="1">
            <a:schemeClr val="accent4"/>
          </a:fillRef>
          <a:effectRef idx="0">
            <a:schemeClr val="accent4"/>
          </a:effectRef>
          <a:fontRef idx="minor">
            <a:schemeClr val="lt1"/>
          </a:fontRef>
        </dgm:style>
      </dgm:prSet>
      <dgm:spPr>
        <a:xfrm>
          <a:off x="3470528" y="1543884"/>
          <a:ext cx="670559" cy="335279"/>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Hybrid Hoffman Klin (HHK)</a:t>
          </a:r>
        </a:p>
      </dgm:t>
    </dgm:pt>
    <dgm:pt modelId="{5C90110E-29C5-49C7-B956-1092E825D751}" type="parTrans" cxnId="{83DEAEC1-2DA7-400B-A285-21E724F12025}">
      <dgm:prSet/>
      <dgm:spPr>
        <a:xfrm rot="3310531">
          <a:off x="3101571" y="1509079"/>
          <a:ext cx="469690" cy="19317"/>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C993E69-22EA-44F2-A651-4B6F38FC2A86}" type="sibTrans" cxnId="{83DEAEC1-2DA7-400B-A285-21E724F12025}">
      <dgm:prSet/>
      <dgm:spPr/>
      <dgm:t>
        <a:bodyPr/>
        <a:lstStyle/>
        <a:p>
          <a:endParaRPr lang="en-US"/>
        </a:p>
      </dgm:t>
    </dgm:pt>
    <dgm:pt modelId="{4B7946E0-6F85-4131-BCEE-0AE2B5A95957}">
      <dgm:prSet custT="1">
        <dgm:style>
          <a:lnRef idx="2">
            <a:schemeClr val="accent4">
              <a:shade val="50000"/>
            </a:schemeClr>
          </a:lnRef>
          <a:fillRef idx="1">
            <a:schemeClr val="accent4"/>
          </a:fillRef>
          <a:effectRef idx="0">
            <a:schemeClr val="accent4"/>
          </a:effectRef>
          <a:fontRef idx="minor">
            <a:schemeClr val="lt1"/>
          </a:fontRef>
        </dgm:style>
      </dgm:prSet>
      <dgm:spPr>
        <a:xfrm>
          <a:off x="3470528" y="1158312"/>
          <a:ext cx="670559" cy="335279"/>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Bio-fertilizer</a:t>
          </a:r>
          <a:r>
            <a:rPr lang="en-US" sz="800" baseline="0">
              <a:solidFill>
                <a:sysClr val="window" lastClr="FFFFFF"/>
              </a:solidFill>
              <a:latin typeface="Times New Roman" pitchFamily="18" charset="0"/>
              <a:ea typeface="+mn-ea"/>
              <a:cs typeface="Times New Roman" pitchFamily="18" charset="0"/>
            </a:rPr>
            <a:t> Plant</a:t>
          </a:r>
          <a:endParaRPr lang="en-US" sz="800">
            <a:solidFill>
              <a:sysClr val="window" lastClr="FFFFFF"/>
            </a:solidFill>
            <a:latin typeface="Times New Roman" pitchFamily="18" charset="0"/>
            <a:ea typeface="+mn-ea"/>
            <a:cs typeface="Times New Roman" pitchFamily="18" charset="0"/>
          </a:endParaRPr>
        </a:p>
      </dgm:t>
    </dgm:pt>
    <dgm:pt modelId="{AD50D399-9001-4EC4-A31B-C691170F1717}" type="parTrans" cxnId="{94216F33-4E7B-49B1-9F12-ABD5FDC399DB}">
      <dgm:prSet/>
      <dgm:spPr>
        <a:xfrm>
          <a:off x="3202304" y="1316293"/>
          <a:ext cx="268223" cy="19317"/>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3C77382-BC73-4ECA-AB11-7FF4969515F9}" type="sibTrans" cxnId="{94216F33-4E7B-49B1-9F12-ABD5FDC399DB}">
      <dgm:prSet/>
      <dgm:spPr/>
      <dgm:t>
        <a:bodyPr/>
        <a:lstStyle/>
        <a:p>
          <a:endParaRPr lang="en-US"/>
        </a:p>
      </dgm:t>
    </dgm:pt>
    <dgm:pt modelId="{498DF5E8-3759-4034-81AE-BB754DC99FB6}">
      <dgm:prSet custT="1">
        <dgm:style>
          <a:lnRef idx="2">
            <a:schemeClr val="accent4">
              <a:shade val="50000"/>
            </a:schemeClr>
          </a:lnRef>
          <a:fillRef idx="1">
            <a:schemeClr val="accent4"/>
          </a:fillRef>
          <a:effectRef idx="0">
            <a:schemeClr val="accent4"/>
          </a:effectRef>
          <a:fontRef idx="minor">
            <a:schemeClr val="lt1"/>
          </a:fontRef>
        </dgm:style>
      </dgm:prSet>
      <dgm:spPr>
        <a:xfrm>
          <a:off x="3470528" y="1929455"/>
          <a:ext cx="670559" cy="335279"/>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Others </a:t>
          </a:r>
        </a:p>
      </dgm:t>
    </dgm:pt>
    <dgm:pt modelId="{E407F5E1-7899-4FB9-A944-88DDB56907C8}" type="parTrans" cxnId="{ED56F536-0BD2-44A0-A096-C3350A99511C}">
      <dgm:prSet/>
      <dgm:spPr>
        <a:xfrm rot="4249260">
          <a:off x="2928186" y="1701865"/>
          <a:ext cx="816459" cy="19317"/>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F88F29C-0788-42D0-8C1A-68512F641336}" type="sibTrans" cxnId="{ED56F536-0BD2-44A0-A096-C3350A99511C}">
      <dgm:prSet/>
      <dgm:spPr/>
      <dgm:t>
        <a:bodyPr/>
        <a:lstStyle/>
        <a:p>
          <a:endParaRPr lang="en-US"/>
        </a:p>
      </dgm:t>
    </dgm:pt>
    <dgm:pt modelId="{E93D4128-24BF-4C53-BB2F-F637BADD6071}">
      <dgm:prSet custT="1">
        <dgm:style>
          <a:lnRef idx="2">
            <a:schemeClr val="accent4">
              <a:shade val="50000"/>
            </a:schemeClr>
          </a:lnRef>
          <a:fillRef idx="1">
            <a:schemeClr val="accent4"/>
          </a:fillRef>
          <a:effectRef idx="0">
            <a:schemeClr val="accent4"/>
          </a:effectRef>
          <a:fontRef idx="minor">
            <a:schemeClr val="lt1"/>
          </a:fontRef>
        </dgm:style>
      </dgm:prSet>
      <dgm:spPr>
        <a:xfrm>
          <a:off x="3470528" y="2315027"/>
          <a:ext cx="670559" cy="335279"/>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Green Finance at Reduce rate of Interest</a:t>
          </a:r>
        </a:p>
      </dgm:t>
    </dgm:pt>
    <dgm:pt modelId="{378925D5-D5AC-4911-A4B5-22DB3CE72054}" type="parTrans" cxnId="{2C22261F-4284-4744-B04E-355C6B1CCFE9}">
      <dgm:prSet/>
      <dgm:spPr>
        <a:xfrm rot="4616685">
          <a:off x="2742713" y="1894651"/>
          <a:ext cx="1187406" cy="19317"/>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746D664-E079-45A1-9AA8-F71130129C17}" type="sibTrans" cxnId="{2C22261F-4284-4744-B04E-355C6B1CCFE9}">
      <dgm:prSet/>
      <dgm:spPr/>
      <dgm:t>
        <a:bodyPr/>
        <a:lstStyle/>
        <a:p>
          <a:endParaRPr lang="en-US"/>
        </a:p>
      </dgm:t>
    </dgm:pt>
    <dgm:pt modelId="{76C0A117-FA49-4CB3-8FF4-AE44629063CC}" type="pres">
      <dgm:prSet presAssocID="{BA74C546-6572-4007-98D7-DD80B270BE59}" presName="diagram" presStyleCnt="0">
        <dgm:presLayoutVars>
          <dgm:chPref val="1"/>
          <dgm:dir/>
          <dgm:animOne val="branch"/>
          <dgm:animLvl val="lvl"/>
          <dgm:resizeHandles val="exact"/>
        </dgm:presLayoutVars>
      </dgm:prSet>
      <dgm:spPr/>
      <dgm:t>
        <a:bodyPr/>
        <a:lstStyle/>
        <a:p>
          <a:endParaRPr lang="en-US"/>
        </a:p>
      </dgm:t>
    </dgm:pt>
    <dgm:pt modelId="{FA0F99AB-58E1-4A77-AB80-0DFF55977DD6}" type="pres">
      <dgm:prSet presAssocID="{49A8F281-6931-4F0C-9BFC-853CBB8E97E8}" presName="root1" presStyleCnt="0"/>
      <dgm:spPr/>
      <dgm:t>
        <a:bodyPr/>
        <a:lstStyle/>
        <a:p>
          <a:endParaRPr lang="en-US"/>
        </a:p>
      </dgm:t>
    </dgm:pt>
    <dgm:pt modelId="{734AD33D-66B0-4202-AD94-91C7F2791ABE}" type="pres">
      <dgm:prSet presAssocID="{49A8F281-6931-4F0C-9BFC-853CBB8E97E8}" presName="LevelOneTextNode" presStyleLbl="node0" presStyleIdx="0" presStyleCnt="1" custScaleY="175660" custLinFactNeighborX="-11421">
        <dgm:presLayoutVars>
          <dgm:chPref val="3"/>
        </dgm:presLayoutVars>
      </dgm:prSet>
      <dgm:spPr>
        <a:prstGeom prst="roundRect">
          <a:avLst>
            <a:gd name="adj" fmla="val 10000"/>
          </a:avLst>
        </a:prstGeom>
      </dgm:spPr>
      <dgm:t>
        <a:bodyPr/>
        <a:lstStyle/>
        <a:p>
          <a:endParaRPr lang="en-US"/>
        </a:p>
      </dgm:t>
    </dgm:pt>
    <dgm:pt modelId="{037BB567-D7DB-45A0-9A4A-BEF55B238802}" type="pres">
      <dgm:prSet presAssocID="{49A8F281-6931-4F0C-9BFC-853CBB8E97E8}" presName="level2hierChild" presStyleCnt="0"/>
      <dgm:spPr/>
      <dgm:t>
        <a:bodyPr/>
        <a:lstStyle/>
        <a:p>
          <a:endParaRPr lang="en-US"/>
        </a:p>
      </dgm:t>
    </dgm:pt>
    <dgm:pt modelId="{41ABA384-9CCE-4FB5-AC36-FC87AB714F4D}" type="pres">
      <dgm:prSet presAssocID="{D7B0A9CB-AE80-43D5-B2C0-18D123049255}" presName="conn2-1" presStyleLbl="parChTrans1D2" presStyleIdx="0" presStyleCnt="2"/>
      <dgm:spPr>
        <a:custGeom>
          <a:avLst/>
          <a:gdLst/>
          <a:ahLst/>
          <a:cxnLst/>
          <a:rect l="0" t="0" r="0" b="0"/>
          <a:pathLst>
            <a:path>
              <a:moveTo>
                <a:pt x="0" y="9932"/>
              </a:moveTo>
              <a:lnTo>
                <a:pt x="945526" y="9932"/>
              </a:lnTo>
            </a:path>
          </a:pathLst>
        </a:custGeom>
      </dgm:spPr>
      <dgm:t>
        <a:bodyPr/>
        <a:lstStyle/>
        <a:p>
          <a:endParaRPr lang="en-US"/>
        </a:p>
      </dgm:t>
    </dgm:pt>
    <dgm:pt modelId="{DC9A668E-7161-447A-8447-C6ECC68DEF73}" type="pres">
      <dgm:prSet presAssocID="{D7B0A9CB-AE80-43D5-B2C0-18D123049255}" presName="connTx" presStyleLbl="parChTrans1D2" presStyleIdx="0" presStyleCnt="2"/>
      <dgm:spPr/>
      <dgm:t>
        <a:bodyPr/>
        <a:lstStyle/>
        <a:p>
          <a:endParaRPr lang="en-US"/>
        </a:p>
      </dgm:t>
    </dgm:pt>
    <dgm:pt modelId="{0F57E4D3-7032-4FE8-A021-A0A44F257C0E}" type="pres">
      <dgm:prSet presAssocID="{1F7DDA76-B889-4B0E-8E39-B0C056F7E010}" presName="root2" presStyleCnt="0"/>
      <dgm:spPr/>
      <dgm:t>
        <a:bodyPr/>
        <a:lstStyle/>
        <a:p>
          <a:endParaRPr lang="en-US"/>
        </a:p>
      </dgm:t>
    </dgm:pt>
    <dgm:pt modelId="{875EACB6-A206-4BAA-876E-CA251BE67D5A}" type="pres">
      <dgm:prSet presAssocID="{1F7DDA76-B889-4B0E-8E39-B0C056F7E010}" presName="LevelTwoTextNode" presStyleLbl="node2" presStyleIdx="0" presStyleCnt="2" custScaleY="165952">
        <dgm:presLayoutVars>
          <dgm:chPref val="3"/>
        </dgm:presLayoutVars>
      </dgm:prSet>
      <dgm:spPr>
        <a:prstGeom prst="roundRect">
          <a:avLst>
            <a:gd name="adj" fmla="val 10000"/>
          </a:avLst>
        </a:prstGeom>
      </dgm:spPr>
      <dgm:t>
        <a:bodyPr/>
        <a:lstStyle/>
        <a:p>
          <a:endParaRPr lang="en-US"/>
        </a:p>
      </dgm:t>
    </dgm:pt>
    <dgm:pt modelId="{A25D2E7A-2779-4BF6-8EC0-8816CCD3901E}" type="pres">
      <dgm:prSet presAssocID="{1F7DDA76-B889-4B0E-8E39-B0C056F7E010}" presName="level3hierChild" presStyleCnt="0"/>
      <dgm:spPr/>
      <dgm:t>
        <a:bodyPr/>
        <a:lstStyle/>
        <a:p>
          <a:endParaRPr lang="en-US"/>
        </a:p>
      </dgm:t>
    </dgm:pt>
    <dgm:pt modelId="{F8730C99-67C6-4268-B4D5-12391EAA903E}" type="pres">
      <dgm:prSet presAssocID="{EE025653-FD81-4C07-B65E-5405335F2467}" presName="conn2-1" presStyleLbl="parChTrans1D3" presStyleIdx="0" presStyleCnt="8"/>
      <dgm:spPr>
        <a:custGeom>
          <a:avLst/>
          <a:gdLst/>
          <a:ahLst/>
          <a:cxnLst/>
          <a:rect l="0" t="0" r="0" b="0"/>
          <a:pathLst>
            <a:path>
              <a:moveTo>
                <a:pt x="0" y="9932"/>
              </a:moveTo>
              <a:lnTo>
                <a:pt x="1329105" y="9932"/>
              </a:lnTo>
            </a:path>
          </a:pathLst>
        </a:custGeom>
      </dgm:spPr>
      <dgm:t>
        <a:bodyPr/>
        <a:lstStyle/>
        <a:p>
          <a:endParaRPr lang="en-US"/>
        </a:p>
      </dgm:t>
    </dgm:pt>
    <dgm:pt modelId="{CAA01A70-B320-43D9-9EC0-7D8DC955E1CC}" type="pres">
      <dgm:prSet presAssocID="{EE025653-FD81-4C07-B65E-5405335F2467}" presName="connTx" presStyleLbl="parChTrans1D3" presStyleIdx="0" presStyleCnt="8"/>
      <dgm:spPr/>
      <dgm:t>
        <a:bodyPr/>
        <a:lstStyle/>
        <a:p>
          <a:endParaRPr lang="en-US"/>
        </a:p>
      </dgm:t>
    </dgm:pt>
    <dgm:pt modelId="{F632956D-5529-4FFE-9C22-494773DE0F93}" type="pres">
      <dgm:prSet presAssocID="{CDC778AB-6291-46D1-B80F-8A1255D7D00F}" presName="root2" presStyleCnt="0"/>
      <dgm:spPr/>
      <dgm:t>
        <a:bodyPr/>
        <a:lstStyle/>
        <a:p>
          <a:endParaRPr lang="en-US"/>
        </a:p>
      </dgm:t>
    </dgm:pt>
    <dgm:pt modelId="{8690B5A7-0A8E-497D-8E5D-0E3F4D7FE6F2}" type="pres">
      <dgm:prSet presAssocID="{CDC778AB-6291-46D1-B80F-8A1255D7D00F}" presName="LevelTwoTextNode" presStyleLbl="node3" presStyleIdx="0" presStyleCnt="8">
        <dgm:presLayoutVars>
          <dgm:chPref val="3"/>
        </dgm:presLayoutVars>
      </dgm:prSet>
      <dgm:spPr>
        <a:prstGeom prst="roundRect">
          <a:avLst>
            <a:gd name="adj" fmla="val 10000"/>
          </a:avLst>
        </a:prstGeom>
      </dgm:spPr>
      <dgm:t>
        <a:bodyPr/>
        <a:lstStyle/>
        <a:p>
          <a:endParaRPr lang="en-US"/>
        </a:p>
      </dgm:t>
    </dgm:pt>
    <dgm:pt modelId="{E82B9E9D-852E-421A-9E88-E3086398CB72}" type="pres">
      <dgm:prSet presAssocID="{CDC778AB-6291-46D1-B80F-8A1255D7D00F}" presName="level3hierChild" presStyleCnt="0"/>
      <dgm:spPr/>
      <dgm:t>
        <a:bodyPr/>
        <a:lstStyle/>
        <a:p>
          <a:endParaRPr lang="en-US"/>
        </a:p>
      </dgm:t>
    </dgm:pt>
    <dgm:pt modelId="{0F0B5460-3925-4D82-81FC-AAD35D47FFAE}" type="pres">
      <dgm:prSet presAssocID="{C59A4AAE-2156-4539-B0EB-D29F63F78D40}" presName="conn2-1" presStyleLbl="parChTrans1D3" presStyleIdx="1" presStyleCnt="8"/>
      <dgm:spPr>
        <a:custGeom>
          <a:avLst/>
          <a:gdLst/>
          <a:ahLst/>
          <a:cxnLst/>
          <a:rect l="0" t="0" r="0" b="0"/>
          <a:pathLst>
            <a:path>
              <a:moveTo>
                <a:pt x="0" y="9932"/>
              </a:moveTo>
              <a:lnTo>
                <a:pt x="913891" y="9932"/>
              </a:lnTo>
            </a:path>
          </a:pathLst>
        </a:custGeom>
      </dgm:spPr>
      <dgm:t>
        <a:bodyPr/>
        <a:lstStyle/>
        <a:p>
          <a:endParaRPr lang="en-US"/>
        </a:p>
      </dgm:t>
    </dgm:pt>
    <dgm:pt modelId="{CE28A956-DEDF-4F4A-9341-428C5DF2EC28}" type="pres">
      <dgm:prSet presAssocID="{C59A4AAE-2156-4539-B0EB-D29F63F78D40}" presName="connTx" presStyleLbl="parChTrans1D3" presStyleIdx="1" presStyleCnt="8"/>
      <dgm:spPr/>
      <dgm:t>
        <a:bodyPr/>
        <a:lstStyle/>
        <a:p>
          <a:endParaRPr lang="en-US"/>
        </a:p>
      </dgm:t>
    </dgm:pt>
    <dgm:pt modelId="{13F57BAA-6CBF-424B-BFD0-625887AD526E}" type="pres">
      <dgm:prSet presAssocID="{D64ED72F-99B0-4BF2-ACD6-B76BCF300A2F}" presName="root2" presStyleCnt="0"/>
      <dgm:spPr/>
      <dgm:t>
        <a:bodyPr/>
        <a:lstStyle/>
        <a:p>
          <a:endParaRPr lang="en-US"/>
        </a:p>
      </dgm:t>
    </dgm:pt>
    <dgm:pt modelId="{6B102485-ACD1-48A4-B96C-C5B8038FA330}" type="pres">
      <dgm:prSet presAssocID="{D64ED72F-99B0-4BF2-ACD6-B76BCF300A2F}" presName="LevelTwoTextNode" presStyleLbl="node3" presStyleIdx="1" presStyleCnt="8">
        <dgm:presLayoutVars>
          <dgm:chPref val="3"/>
        </dgm:presLayoutVars>
      </dgm:prSet>
      <dgm:spPr>
        <a:prstGeom prst="roundRect">
          <a:avLst>
            <a:gd name="adj" fmla="val 10000"/>
          </a:avLst>
        </a:prstGeom>
      </dgm:spPr>
      <dgm:t>
        <a:bodyPr/>
        <a:lstStyle/>
        <a:p>
          <a:endParaRPr lang="en-US"/>
        </a:p>
      </dgm:t>
    </dgm:pt>
    <dgm:pt modelId="{10F540C4-4A73-4246-81EE-AA7F0CAB7A5B}" type="pres">
      <dgm:prSet presAssocID="{D64ED72F-99B0-4BF2-ACD6-B76BCF300A2F}" presName="level3hierChild" presStyleCnt="0"/>
      <dgm:spPr/>
      <dgm:t>
        <a:bodyPr/>
        <a:lstStyle/>
        <a:p>
          <a:endParaRPr lang="en-US"/>
        </a:p>
      </dgm:t>
    </dgm:pt>
    <dgm:pt modelId="{F26C5195-2D18-4C71-B2BA-A9610E907ADA}" type="pres">
      <dgm:prSet presAssocID="{5F2EFF9E-7DD8-4465-94F6-D56474609AD2}" presName="conn2-1" presStyleLbl="parChTrans1D3" presStyleIdx="2" presStyleCnt="8"/>
      <dgm:spPr>
        <a:custGeom>
          <a:avLst/>
          <a:gdLst/>
          <a:ahLst/>
          <a:cxnLst/>
          <a:rect l="0" t="0" r="0" b="0"/>
          <a:pathLst>
            <a:path>
              <a:moveTo>
                <a:pt x="0" y="9932"/>
              </a:moveTo>
              <a:lnTo>
                <a:pt x="525741" y="9932"/>
              </a:lnTo>
            </a:path>
          </a:pathLst>
        </a:custGeom>
      </dgm:spPr>
      <dgm:t>
        <a:bodyPr/>
        <a:lstStyle/>
        <a:p>
          <a:endParaRPr lang="en-US"/>
        </a:p>
      </dgm:t>
    </dgm:pt>
    <dgm:pt modelId="{13D0F6DE-C74A-4210-9D4F-D67810F73EE6}" type="pres">
      <dgm:prSet presAssocID="{5F2EFF9E-7DD8-4465-94F6-D56474609AD2}" presName="connTx" presStyleLbl="parChTrans1D3" presStyleIdx="2" presStyleCnt="8"/>
      <dgm:spPr/>
      <dgm:t>
        <a:bodyPr/>
        <a:lstStyle/>
        <a:p>
          <a:endParaRPr lang="en-US"/>
        </a:p>
      </dgm:t>
    </dgm:pt>
    <dgm:pt modelId="{585567E8-AA30-4FB0-A815-8AA0EDB20C73}" type="pres">
      <dgm:prSet presAssocID="{F838A106-BD4C-473A-B582-4F30C9314148}" presName="root2" presStyleCnt="0"/>
      <dgm:spPr/>
      <dgm:t>
        <a:bodyPr/>
        <a:lstStyle/>
        <a:p>
          <a:endParaRPr lang="en-US"/>
        </a:p>
      </dgm:t>
    </dgm:pt>
    <dgm:pt modelId="{AAB2E39A-9380-41F0-8E06-D1E0F3B68D18}" type="pres">
      <dgm:prSet presAssocID="{F838A106-BD4C-473A-B582-4F30C9314148}" presName="LevelTwoTextNode" presStyleLbl="node3" presStyleIdx="2" presStyleCnt="8">
        <dgm:presLayoutVars>
          <dgm:chPref val="3"/>
        </dgm:presLayoutVars>
      </dgm:prSet>
      <dgm:spPr>
        <a:prstGeom prst="roundRect">
          <a:avLst>
            <a:gd name="adj" fmla="val 10000"/>
          </a:avLst>
        </a:prstGeom>
      </dgm:spPr>
      <dgm:t>
        <a:bodyPr/>
        <a:lstStyle/>
        <a:p>
          <a:endParaRPr lang="en-US"/>
        </a:p>
      </dgm:t>
    </dgm:pt>
    <dgm:pt modelId="{680AFDC2-4411-4DFD-B737-63BBCA7DAB04}" type="pres">
      <dgm:prSet presAssocID="{F838A106-BD4C-473A-B582-4F30C9314148}" presName="level3hierChild" presStyleCnt="0"/>
      <dgm:spPr/>
      <dgm:t>
        <a:bodyPr/>
        <a:lstStyle/>
        <a:p>
          <a:endParaRPr lang="en-US"/>
        </a:p>
      </dgm:t>
    </dgm:pt>
    <dgm:pt modelId="{F7B049B2-BDD6-4B05-9E03-BDF03E6203F0}" type="pres">
      <dgm:prSet presAssocID="{AD50D399-9001-4EC4-A31B-C691170F1717}" presName="conn2-1" presStyleLbl="parChTrans1D3" presStyleIdx="3" presStyleCnt="8"/>
      <dgm:spPr>
        <a:custGeom>
          <a:avLst/>
          <a:gdLst/>
          <a:ahLst/>
          <a:cxnLst/>
          <a:rect l="0" t="0" r="0" b="0"/>
          <a:pathLst>
            <a:path>
              <a:moveTo>
                <a:pt x="0" y="9932"/>
              </a:moveTo>
              <a:lnTo>
                <a:pt x="300232" y="9932"/>
              </a:lnTo>
            </a:path>
          </a:pathLst>
        </a:custGeom>
      </dgm:spPr>
      <dgm:t>
        <a:bodyPr/>
        <a:lstStyle/>
        <a:p>
          <a:endParaRPr lang="en-US"/>
        </a:p>
      </dgm:t>
    </dgm:pt>
    <dgm:pt modelId="{239C87F2-64F8-45CD-BB88-3CD6450B0F41}" type="pres">
      <dgm:prSet presAssocID="{AD50D399-9001-4EC4-A31B-C691170F1717}" presName="connTx" presStyleLbl="parChTrans1D3" presStyleIdx="3" presStyleCnt="8"/>
      <dgm:spPr/>
      <dgm:t>
        <a:bodyPr/>
        <a:lstStyle/>
        <a:p>
          <a:endParaRPr lang="en-US"/>
        </a:p>
      </dgm:t>
    </dgm:pt>
    <dgm:pt modelId="{121A40DB-E3D0-496A-85EE-EBD1FDBD5202}" type="pres">
      <dgm:prSet presAssocID="{4B7946E0-6F85-4131-BCEE-0AE2B5A95957}" presName="root2" presStyleCnt="0"/>
      <dgm:spPr/>
      <dgm:t>
        <a:bodyPr/>
        <a:lstStyle/>
        <a:p>
          <a:endParaRPr lang="en-US"/>
        </a:p>
      </dgm:t>
    </dgm:pt>
    <dgm:pt modelId="{712E9835-9651-4688-AF09-4C340A578B34}" type="pres">
      <dgm:prSet presAssocID="{4B7946E0-6F85-4131-BCEE-0AE2B5A95957}" presName="LevelTwoTextNode" presStyleLbl="node3" presStyleIdx="3" presStyleCnt="8">
        <dgm:presLayoutVars>
          <dgm:chPref val="3"/>
        </dgm:presLayoutVars>
      </dgm:prSet>
      <dgm:spPr>
        <a:prstGeom prst="roundRect">
          <a:avLst>
            <a:gd name="adj" fmla="val 10000"/>
          </a:avLst>
        </a:prstGeom>
      </dgm:spPr>
      <dgm:t>
        <a:bodyPr/>
        <a:lstStyle/>
        <a:p>
          <a:endParaRPr lang="en-US"/>
        </a:p>
      </dgm:t>
    </dgm:pt>
    <dgm:pt modelId="{D5AEE5F3-2F5C-4527-9683-09B564B5EBCA}" type="pres">
      <dgm:prSet presAssocID="{4B7946E0-6F85-4131-BCEE-0AE2B5A95957}" presName="level3hierChild" presStyleCnt="0"/>
      <dgm:spPr/>
      <dgm:t>
        <a:bodyPr/>
        <a:lstStyle/>
        <a:p>
          <a:endParaRPr lang="en-US"/>
        </a:p>
      </dgm:t>
    </dgm:pt>
    <dgm:pt modelId="{61E4DB06-D971-4B95-9723-C90D9F87CAE4}" type="pres">
      <dgm:prSet presAssocID="{5C90110E-29C5-49C7-B956-1092E825D751}" presName="conn2-1" presStyleLbl="parChTrans1D3" presStyleIdx="4" presStyleCnt="8"/>
      <dgm:spPr>
        <a:custGeom>
          <a:avLst/>
          <a:gdLst/>
          <a:ahLst/>
          <a:cxnLst/>
          <a:rect l="0" t="0" r="0" b="0"/>
          <a:pathLst>
            <a:path>
              <a:moveTo>
                <a:pt x="0" y="9932"/>
              </a:moveTo>
              <a:lnTo>
                <a:pt x="525741" y="9932"/>
              </a:lnTo>
            </a:path>
          </a:pathLst>
        </a:custGeom>
      </dgm:spPr>
      <dgm:t>
        <a:bodyPr/>
        <a:lstStyle/>
        <a:p>
          <a:endParaRPr lang="en-US"/>
        </a:p>
      </dgm:t>
    </dgm:pt>
    <dgm:pt modelId="{02F160F6-B1F0-4E39-AA97-C8B4528F616F}" type="pres">
      <dgm:prSet presAssocID="{5C90110E-29C5-49C7-B956-1092E825D751}" presName="connTx" presStyleLbl="parChTrans1D3" presStyleIdx="4" presStyleCnt="8"/>
      <dgm:spPr/>
      <dgm:t>
        <a:bodyPr/>
        <a:lstStyle/>
        <a:p>
          <a:endParaRPr lang="en-US"/>
        </a:p>
      </dgm:t>
    </dgm:pt>
    <dgm:pt modelId="{AED0B2B3-80E7-4DB2-A2B3-8C4A7F3638CD}" type="pres">
      <dgm:prSet presAssocID="{1474DF5B-F394-4376-AD6C-BED090CFF1C6}" presName="root2" presStyleCnt="0"/>
      <dgm:spPr/>
      <dgm:t>
        <a:bodyPr/>
        <a:lstStyle/>
        <a:p>
          <a:endParaRPr lang="en-US"/>
        </a:p>
      </dgm:t>
    </dgm:pt>
    <dgm:pt modelId="{C13EAC54-D968-4DC1-9B83-57F9538DA570}" type="pres">
      <dgm:prSet presAssocID="{1474DF5B-F394-4376-AD6C-BED090CFF1C6}" presName="LevelTwoTextNode" presStyleLbl="node3" presStyleIdx="4" presStyleCnt="8">
        <dgm:presLayoutVars>
          <dgm:chPref val="3"/>
        </dgm:presLayoutVars>
      </dgm:prSet>
      <dgm:spPr>
        <a:prstGeom prst="roundRect">
          <a:avLst>
            <a:gd name="adj" fmla="val 10000"/>
          </a:avLst>
        </a:prstGeom>
      </dgm:spPr>
      <dgm:t>
        <a:bodyPr/>
        <a:lstStyle/>
        <a:p>
          <a:endParaRPr lang="en-US"/>
        </a:p>
      </dgm:t>
    </dgm:pt>
    <dgm:pt modelId="{57A58116-34C4-40C9-B230-65A919FC18FE}" type="pres">
      <dgm:prSet presAssocID="{1474DF5B-F394-4376-AD6C-BED090CFF1C6}" presName="level3hierChild" presStyleCnt="0"/>
      <dgm:spPr/>
      <dgm:t>
        <a:bodyPr/>
        <a:lstStyle/>
        <a:p>
          <a:endParaRPr lang="en-US"/>
        </a:p>
      </dgm:t>
    </dgm:pt>
    <dgm:pt modelId="{230F65A2-D57E-4612-9B65-8F65CA6DBE82}" type="pres">
      <dgm:prSet presAssocID="{E407F5E1-7899-4FB9-A944-88DDB56907C8}" presName="conn2-1" presStyleLbl="parChTrans1D3" presStyleIdx="5" presStyleCnt="8"/>
      <dgm:spPr>
        <a:custGeom>
          <a:avLst/>
          <a:gdLst/>
          <a:ahLst/>
          <a:cxnLst/>
          <a:rect l="0" t="0" r="0" b="0"/>
          <a:pathLst>
            <a:path>
              <a:moveTo>
                <a:pt x="0" y="9932"/>
              </a:moveTo>
              <a:lnTo>
                <a:pt x="913891" y="9932"/>
              </a:lnTo>
            </a:path>
          </a:pathLst>
        </a:custGeom>
      </dgm:spPr>
      <dgm:t>
        <a:bodyPr/>
        <a:lstStyle/>
        <a:p>
          <a:endParaRPr lang="en-US"/>
        </a:p>
      </dgm:t>
    </dgm:pt>
    <dgm:pt modelId="{AE099CF2-F911-48C6-9ABD-F6E997D51529}" type="pres">
      <dgm:prSet presAssocID="{E407F5E1-7899-4FB9-A944-88DDB56907C8}" presName="connTx" presStyleLbl="parChTrans1D3" presStyleIdx="5" presStyleCnt="8"/>
      <dgm:spPr/>
      <dgm:t>
        <a:bodyPr/>
        <a:lstStyle/>
        <a:p>
          <a:endParaRPr lang="en-US"/>
        </a:p>
      </dgm:t>
    </dgm:pt>
    <dgm:pt modelId="{E2230190-82FE-4125-A342-5D01E39E5967}" type="pres">
      <dgm:prSet presAssocID="{498DF5E8-3759-4034-81AE-BB754DC99FB6}" presName="root2" presStyleCnt="0"/>
      <dgm:spPr/>
      <dgm:t>
        <a:bodyPr/>
        <a:lstStyle/>
        <a:p>
          <a:endParaRPr lang="en-US"/>
        </a:p>
      </dgm:t>
    </dgm:pt>
    <dgm:pt modelId="{2EE5A8F5-4661-45F7-BAA0-5C9996400B8D}" type="pres">
      <dgm:prSet presAssocID="{498DF5E8-3759-4034-81AE-BB754DC99FB6}" presName="LevelTwoTextNode" presStyleLbl="node3" presStyleIdx="5" presStyleCnt="8">
        <dgm:presLayoutVars>
          <dgm:chPref val="3"/>
        </dgm:presLayoutVars>
      </dgm:prSet>
      <dgm:spPr>
        <a:prstGeom prst="roundRect">
          <a:avLst>
            <a:gd name="adj" fmla="val 10000"/>
          </a:avLst>
        </a:prstGeom>
      </dgm:spPr>
      <dgm:t>
        <a:bodyPr/>
        <a:lstStyle/>
        <a:p>
          <a:endParaRPr lang="en-US"/>
        </a:p>
      </dgm:t>
    </dgm:pt>
    <dgm:pt modelId="{E999A1AD-1D3E-4A97-9F3F-97F307525E46}" type="pres">
      <dgm:prSet presAssocID="{498DF5E8-3759-4034-81AE-BB754DC99FB6}" presName="level3hierChild" presStyleCnt="0"/>
      <dgm:spPr/>
      <dgm:t>
        <a:bodyPr/>
        <a:lstStyle/>
        <a:p>
          <a:endParaRPr lang="en-US"/>
        </a:p>
      </dgm:t>
    </dgm:pt>
    <dgm:pt modelId="{F21F804E-39A1-46AF-B98A-245FF50C27B4}" type="pres">
      <dgm:prSet presAssocID="{378925D5-D5AC-4911-A4B5-22DB3CE72054}" presName="conn2-1" presStyleLbl="parChTrans1D3" presStyleIdx="6" presStyleCnt="8"/>
      <dgm:spPr>
        <a:custGeom>
          <a:avLst/>
          <a:gdLst/>
          <a:ahLst/>
          <a:cxnLst/>
          <a:rect l="0" t="0" r="0" b="0"/>
          <a:pathLst>
            <a:path>
              <a:moveTo>
                <a:pt x="0" y="9932"/>
              </a:moveTo>
              <a:lnTo>
                <a:pt x="1329105" y="9932"/>
              </a:lnTo>
            </a:path>
          </a:pathLst>
        </a:custGeom>
      </dgm:spPr>
      <dgm:t>
        <a:bodyPr/>
        <a:lstStyle/>
        <a:p>
          <a:endParaRPr lang="en-US"/>
        </a:p>
      </dgm:t>
    </dgm:pt>
    <dgm:pt modelId="{0CC1031A-2A74-427A-9F11-E5BDA95C1DEC}" type="pres">
      <dgm:prSet presAssocID="{378925D5-D5AC-4911-A4B5-22DB3CE72054}" presName="connTx" presStyleLbl="parChTrans1D3" presStyleIdx="6" presStyleCnt="8"/>
      <dgm:spPr/>
      <dgm:t>
        <a:bodyPr/>
        <a:lstStyle/>
        <a:p>
          <a:endParaRPr lang="en-US"/>
        </a:p>
      </dgm:t>
    </dgm:pt>
    <dgm:pt modelId="{AD119D40-46AF-416B-B004-8B011ADD7E8D}" type="pres">
      <dgm:prSet presAssocID="{E93D4128-24BF-4C53-BB2F-F637BADD6071}" presName="root2" presStyleCnt="0"/>
      <dgm:spPr/>
      <dgm:t>
        <a:bodyPr/>
        <a:lstStyle/>
        <a:p>
          <a:endParaRPr lang="en-US"/>
        </a:p>
      </dgm:t>
    </dgm:pt>
    <dgm:pt modelId="{AAC2EAD8-FE60-4CF8-B5CA-B214FD24E159}" type="pres">
      <dgm:prSet presAssocID="{E93D4128-24BF-4C53-BB2F-F637BADD6071}" presName="LevelTwoTextNode" presStyleLbl="node3" presStyleIdx="6" presStyleCnt="8">
        <dgm:presLayoutVars>
          <dgm:chPref val="3"/>
        </dgm:presLayoutVars>
      </dgm:prSet>
      <dgm:spPr>
        <a:prstGeom prst="roundRect">
          <a:avLst>
            <a:gd name="adj" fmla="val 10000"/>
          </a:avLst>
        </a:prstGeom>
      </dgm:spPr>
      <dgm:t>
        <a:bodyPr/>
        <a:lstStyle/>
        <a:p>
          <a:endParaRPr lang="en-US"/>
        </a:p>
      </dgm:t>
    </dgm:pt>
    <dgm:pt modelId="{A033A042-91BD-4788-B394-D9771F4A4556}" type="pres">
      <dgm:prSet presAssocID="{E93D4128-24BF-4C53-BB2F-F637BADD6071}" presName="level3hierChild" presStyleCnt="0"/>
      <dgm:spPr/>
      <dgm:t>
        <a:bodyPr/>
        <a:lstStyle/>
        <a:p>
          <a:endParaRPr lang="en-US"/>
        </a:p>
      </dgm:t>
    </dgm:pt>
    <dgm:pt modelId="{85400A0A-99FC-4145-8A4E-A685EA2FAEA2}" type="pres">
      <dgm:prSet presAssocID="{03067A3D-BFD8-48A5-9D7C-97DD21CE7DB4}" presName="conn2-1" presStyleLbl="parChTrans1D2" presStyleIdx="1" presStyleCnt="2"/>
      <dgm:spPr>
        <a:custGeom>
          <a:avLst/>
          <a:gdLst/>
          <a:ahLst/>
          <a:cxnLst/>
          <a:rect l="0" t="0" r="0" b="0"/>
          <a:pathLst>
            <a:path>
              <a:moveTo>
                <a:pt x="0" y="9932"/>
              </a:moveTo>
              <a:lnTo>
                <a:pt x="945526" y="9932"/>
              </a:lnTo>
            </a:path>
          </a:pathLst>
        </a:custGeom>
      </dgm:spPr>
      <dgm:t>
        <a:bodyPr/>
        <a:lstStyle/>
        <a:p>
          <a:endParaRPr lang="en-US"/>
        </a:p>
      </dgm:t>
    </dgm:pt>
    <dgm:pt modelId="{710BA575-C92A-453C-8D31-3C85F27F8661}" type="pres">
      <dgm:prSet presAssocID="{03067A3D-BFD8-48A5-9D7C-97DD21CE7DB4}" presName="connTx" presStyleLbl="parChTrans1D2" presStyleIdx="1" presStyleCnt="2"/>
      <dgm:spPr/>
      <dgm:t>
        <a:bodyPr/>
        <a:lstStyle/>
        <a:p>
          <a:endParaRPr lang="en-US"/>
        </a:p>
      </dgm:t>
    </dgm:pt>
    <dgm:pt modelId="{483EAD9C-B5C9-47E6-AC63-DA0A9A3EDD41}" type="pres">
      <dgm:prSet presAssocID="{D34F5060-12A0-4E67-83F0-5C27C78AF2D8}" presName="root2" presStyleCnt="0"/>
      <dgm:spPr/>
      <dgm:t>
        <a:bodyPr/>
        <a:lstStyle/>
        <a:p>
          <a:endParaRPr lang="en-US"/>
        </a:p>
      </dgm:t>
    </dgm:pt>
    <dgm:pt modelId="{11669BC3-7088-4748-892F-DC6D5BA113B2}" type="pres">
      <dgm:prSet presAssocID="{D34F5060-12A0-4E67-83F0-5C27C78AF2D8}" presName="LevelTwoTextNode" presStyleLbl="node2" presStyleIdx="1" presStyleCnt="2" custScaleY="151732">
        <dgm:presLayoutVars>
          <dgm:chPref val="3"/>
        </dgm:presLayoutVars>
      </dgm:prSet>
      <dgm:spPr>
        <a:prstGeom prst="roundRect">
          <a:avLst>
            <a:gd name="adj" fmla="val 10000"/>
          </a:avLst>
        </a:prstGeom>
      </dgm:spPr>
      <dgm:t>
        <a:bodyPr/>
        <a:lstStyle/>
        <a:p>
          <a:endParaRPr lang="en-US"/>
        </a:p>
      </dgm:t>
    </dgm:pt>
    <dgm:pt modelId="{A21A6559-9613-4F8B-B191-1F05DA0B5133}" type="pres">
      <dgm:prSet presAssocID="{D34F5060-12A0-4E67-83F0-5C27C78AF2D8}" presName="level3hierChild" presStyleCnt="0"/>
      <dgm:spPr/>
      <dgm:t>
        <a:bodyPr/>
        <a:lstStyle/>
        <a:p>
          <a:endParaRPr lang="en-US"/>
        </a:p>
      </dgm:t>
    </dgm:pt>
    <dgm:pt modelId="{FCC17A86-635F-4569-A001-56280602F889}" type="pres">
      <dgm:prSet presAssocID="{AA8DCA47-CCB8-4475-A793-1368DD4ED0F3}" presName="conn2-1" presStyleLbl="parChTrans1D3" presStyleIdx="7" presStyleCnt="8"/>
      <dgm:spPr>
        <a:custGeom>
          <a:avLst/>
          <a:gdLst/>
          <a:ahLst/>
          <a:cxnLst/>
          <a:rect l="0" t="0" r="0" b="0"/>
          <a:pathLst>
            <a:path>
              <a:moveTo>
                <a:pt x="0" y="9932"/>
              </a:moveTo>
              <a:lnTo>
                <a:pt x="300232" y="9932"/>
              </a:lnTo>
            </a:path>
          </a:pathLst>
        </a:custGeom>
      </dgm:spPr>
      <dgm:t>
        <a:bodyPr/>
        <a:lstStyle/>
        <a:p>
          <a:endParaRPr lang="en-US"/>
        </a:p>
      </dgm:t>
    </dgm:pt>
    <dgm:pt modelId="{7AD03E80-E767-47C9-A59D-65F88CECA8E6}" type="pres">
      <dgm:prSet presAssocID="{AA8DCA47-CCB8-4475-A793-1368DD4ED0F3}" presName="connTx" presStyleLbl="parChTrans1D3" presStyleIdx="7" presStyleCnt="8"/>
      <dgm:spPr/>
      <dgm:t>
        <a:bodyPr/>
        <a:lstStyle/>
        <a:p>
          <a:endParaRPr lang="en-US"/>
        </a:p>
      </dgm:t>
    </dgm:pt>
    <dgm:pt modelId="{4B8989D3-7666-4198-9662-F34DB9BA8037}" type="pres">
      <dgm:prSet presAssocID="{02E7A6CF-EF0A-4D71-B62A-C47D0BA14BCA}" presName="root2" presStyleCnt="0"/>
      <dgm:spPr/>
      <dgm:t>
        <a:bodyPr/>
        <a:lstStyle/>
        <a:p>
          <a:endParaRPr lang="en-US"/>
        </a:p>
      </dgm:t>
    </dgm:pt>
    <dgm:pt modelId="{983A5402-0C8B-439F-BF78-7CD8294A5FA1}" type="pres">
      <dgm:prSet presAssocID="{02E7A6CF-EF0A-4D71-B62A-C47D0BA14BCA}" presName="LevelTwoTextNode" presStyleLbl="node3" presStyleIdx="7" presStyleCnt="8">
        <dgm:presLayoutVars>
          <dgm:chPref val="3"/>
        </dgm:presLayoutVars>
      </dgm:prSet>
      <dgm:spPr>
        <a:prstGeom prst="roundRect">
          <a:avLst>
            <a:gd name="adj" fmla="val 10000"/>
          </a:avLst>
        </a:prstGeom>
      </dgm:spPr>
      <dgm:t>
        <a:bodyPr/>
        <a:lstStyle/>
        <a:p>
          <a:endParaRPr lang="en-US"/>
        </a:p>
      </dgm:t>
    </dgm:pt>
    <dgm:pt modelId="{55ED88BE-5C83-4610-9482-EC8B3BB0AE08}" type="pres">
      <dgm:prSet presAssocID="{02E7A6CF-EF0A-4D71-B62A-C47D0BA14BCA}" presName="level3hierChild" presStyleCnt="0"/>
      <dgm:spPr/>
      <dgm:t>
        <a:bodyPr/>
        <a:lstStyle/>
        <a:p>
          <a:endParaRPr lang="en-US"/>
        </a:p>
      </dgm:t>
    </dgm:pt>
  </dgm:ptLst>
  <dgm:cxnLst>
    <dgm:cxn modelId="{BC42DD06-4304-4B36-8985-E473C8E54451}" type="presOf" srcId="{F838A106-BD4C-473A-B582-4F30C9314148}" destId="{AAB2E39A-9380-41F0-8E06-D1E0F3B68D18}" srcOrd="0" destOrd="0" presId="urn:microsoft.com/office/officeart/2005/8/layout/hierarchy2"/>
    <dgm:cxn modelId="{2EB88519-3F89-4043-A685-E72B107A879B}" type="presOf" srcId="{E93D4128-24BF-4C53-BB2F-F637BADD6071}" destId="{AAC2EAD8-FE60-4CF8-B5CA-B214FD24E159}" srcOrd="0" destOrd="0" presId="urn:microsoft.com/office/officeart/2005/8/layout/hierarchy2"/>
    <dgm:cxn modelId="{FC96E1B5-16FB-4027-BB2D-EA4D2553738A}" srcId="{49A8F281-6931-4F0C-9BFC-853CBB8E97E8}" destId="{1F7DDA76-B889-4B0E-8E39-B0C056F7E010}" srcOrd="0" destOrd="0" parTransId="{D7B0A9CB-AE80-43D5-B2C0-18D123049255}" sibTransId="{869AFD52-C931-4F99-8669-5C48445F3804}"/>
    <dgm:cxn modelId="{6F8667CD-3D1B-4746-AEAF-675239824F98}" srcId="{D34F5060-12A0-4E67-83F0-5C27C78AF2D8}" destId="{02E7A6CF-EF0A-4D71-B62A-C47D0BA14BCA}" srcOrd="0" destOrd="0" parTransId="{AA8DCA47-CCB8-4475-A793-1368DD4ED0F3}" sibTransId="{FDC14311-AB0E-4ABB-9328-BB484A98FB08}"/>
    <dgm:cxn modelId="{83A695AB-D529-4F8A-9E0E-1F68C5222D9C}" type="presOf" srcId="{49A8F281-6931-4F0C-9BFC-853CBB8E97E8}" destId="{734AD33D-66B0-4202-AD94-91C7F2791ABE}" srcOrd="0" destOrd="0" presId="urn:microsoft.com/office/officeart/2005/8/layout/hierarchy2"/>
    <dgm:cxn modelId="{1363BFEE-42D1-439C-BBB5-7E0288158181}" type="presOf" srcId="{E407F5E1-7899-4FB9-A944-88DDB56907C8}" destId="{AE099CF2-F911-48C6-9ABD-F6E997D51529}" srcOrd="1" destOrd="0" presId="urn:microsoft.com/office/officeart/2005/8/layout/hierarchy2"/>
    <dgm:cxn modelId="{83E1DF8B-F718-4BAC-940E-944116BAFDBE}" type="presOf" srcId="{5C90110E-29C5-49C7-B956-1092E825D751}" destId="{61E4DB06-D971-4B95-9723-C90D9F87CAE4}" srcOrd="0" destOrd="0" presId="urn:microsoft.com/office/officeart/2005/8/layout/hierarchy2"/>
    <dgm:cxn modelId="{986194EF-3A56-4D7E-8061-191BDFED3892}" type="presOf" srcId="{D34F5060-12A0-4E67-83F0-5C27C78AF2D8}" destId="{11669BC3-7088-4748-892F-DC6D5BA113B2}" srcOrd="0" destOrd="0" presId="urn:microsoft.com/office/officeart/2005/8/layout/hierarchy2"/>
    <dgm:cxn modelId="{4A1119FA-7FC5-44AB-8EF0-50FF277FFF9B}" type="presOf" srcId="{AD50D399-9001-4EC4-A31B-C691170F1717}" destId="{239C87F2-64F8-45CD-BB88-3CD6450B0F41}" srcOrd="1" destOrd="0" presId="urn:microsoft.com/office/officeart/2005/8/layout/hierarchy2"/>
    <dgm:cxn modelId="{14000DC8-0944-448A-9CF5-79950D2BB72A}" type="presOf" srcId="{BA74C546-6572-4007-98D7-DD80B270BE59}" destId="{76C0A117-FA49-4CB3-8FF4-AE44629063CC}" srcOrd="0" destOrd="0" presId="urn:microsoft.com/office/officeart/2005/8/layout/hierarchy2"/>
    <dgm:cxn modelId="{90B37193-AD8D-4B14-AD47-9DDC5EAC6054}" type="presOf" srcId="{EE025653-FD81-4C07-B65E-5405335F2467}" destId="{F8730C99-67C6-4268-B4D5-12391EAA903E}" srcOrd="0" destOrd="0" presId="urn:microsoft.com/office/officeart/2005/8/layout/hierarchy2"/>
    <dgm:cxn modelId="{372E9E24-71C8-4087-9EB6-2411EA3916A5}" type="presOf" srcId="{378925D5-D5AC-4911-A4B5-22DB3CE72054}" destId="{F21F804E-39A1-46AF-B98A-245FF50C27B4}" srcOrd="0" destOrd="0" presId="urn:microsoft.com/office/officeart/2005/8/layout/hierarchy2"/>
    <dgm:cxn modelId="{EBA3B830-7263-454B-824E-AB42C662A9C0}" type="presOf" srcId="{03067A3D-BFD8-48A5-9D7C-97DD21CE7DB4}" destId="{710BA575-C92A-453C-8D31-3C85F27F8661}" srcOrd="1" destOrd="0" presId="urn:microsoft.com/office/officeart/2005/8/layout/hierarchy2"/>
    <dgm:cxn modelId="{D2341A43-11AD-4A34-A5F0-6DD137E75BE7}" srcId="{1F7DDA76-B889-4B0E-8E39-B0C056F7E010}" destId="{CDC778AB-6291-46D1-B80F-8A1255D7D00F}" srcOrd="0" destOrd="0" parTransId="{EE025653-FD81-4C07-B65E-5405335F2467}" sibTransId="{F299D34F-7909-41B2-81CA-61D9FC2AC912}"/>
    <dgm:cxn modelId="{2C22261F-4284-4744-B04E-355C6B1CCFE9}" srcId="{1F7DDA76-B889-4B0E-8E39-B0C056F7E010}" destId="{E93D4128-24BF-4C53-BB2F-F637BADD6071}" srcOrd="6" destOrd="0" parTransId="{378925D5-D5AC-4911-A4B5-22DB3CE72054}" sibTransId="{7746D664-E079-45A1-9AA8-F71130129C17}"/>
    <dgm:cxn modelId="{7A1E79A9-FA51-4D49-9FCD-E10CFEE7F958}" type="presOf" srcId="{AA8DCA47-CCB8-4475-A793-1368DD4ED0F3}" destId="{FCC17A86-635F-4569-A001-56280602F889}" srcOrd="0" destOrd="0" presId="urn:microsoft.com/office/officeart/2005/8/layout/hierarchy2"/>
    <dgm:cxn modelId="{AC1802DB-C6A5-42DE-8AB4-6BB8CEFA0A79}" type="presOf" srcId="{1F7DDA76-B889-4B0E-8E39-B0C056F7E010}" destId="{875EACB6-A206-4BAA-876E-CA251BE67D5A}" srcOrd="0" destOrd="0" presId="urn:microsoft.com/office/officeart/2005/8/layout/hierarchy2"/>
    <dgm:cxn modelId="{FAD2A9D3-9F01-4567-B187-43DC9AB1A9C9}" type="presOf" srcId="{C59A4AAE-2156-4539-B0EB-D29F63F78D40}" destId="{CE28A956-DEDF-4F4A-9341-428C5DF2EC28}" srcOrd="1" destOrd="0" presId="urn:microsoft.com/office/officeart/2005/8/layout/hierarchy2"/>
    <dgm:cxn modelId="{5F78A45F-C4F1-4B3C-94F9-A3737AE0A7D5}" type="presOf" srcId="{02E7A6CF-EF0A-4D71-B62A-C47D0BA14BCA}" destId="{983A5402-0C8B-439F-BF78-7CD8294A5FA1}" srcOrd="0" destOrd="0" presId="urn:microsoft.com/office/officeart/2005/8/layout/hierarchy2"/>
    <dgm:cxn modelId="{83DEAEC1-2DA7-400B-A285-21E724F12025}" srcId="{1F7DDA76-B889-4B0E-8E39-B0C056F7E010}" destId="{1474DF5B-F394-4376-AD6C-BED090CFF1C6}" srcOrd="4" destOrd="0" parTransId="{5C90110E-29C5-49C7-B956-1092E825D751}" sibTransId="{EC993E69-22EA-44F2-A651-4B6F38FC2A86}"/>
    <dgm:cxn modelId="{ED56F536-0BD2-44A0-A096-C3350A99511C}" srcId="{1F7DDA76-B889-4B0E-8E39-B0C056F7E010}" destId="{498DF5E8-3759-4034-81AE-BB754DC99FB6}" srcOrd="5" destOrd="0" parTransId="{E407F5E1-7899-4FB9-A944-88DDB56907C8}" sibTransId="{CF88F29C-0788-42D0-8C1A-68512F641336}"/>
    <dgm:cxn modelId="{A729A0D6-2C64-4D09-B1EB-E341A671D7F3}" type="presOf" srcId="{498DF5E8-3759-4034-81AE-BB754DC99FB6}" destId="{2EE5A8F5-4661-45F7-BAA0-5C9996400B8D}" srcOrd="0" destOrd="0" presId="urn:microsoft.com/office/officeart/2005/8/layout/hierarchy2"/>
    <dgm:cxn modelId="{5CB88F68-35D0-4E5A-B3BF-F950F63EE1A8}" srcId="{1F7DDA76-B889-4B0E-8E39-B0C056F7E010}" destId="{F838A106-BD4C-473A-B582-4F30C9314148}" srcOrd="2" destOrd="0" parTransId="{5F2EFF9E-7DD8-4465-94F6-D56474609AD2}" sibTransId="{1F56A221-59DD-4612-9FA3-40FDA47F251E}"/>
    <dgm:cxn modelId="{B2AA3E64-1437-4E3B-BE11-98E1A332BEE3}" srcId="{1F7DDA76-B889-4B0E-8E39-B0C056F7E010}" destId="{D64ED72F-99B0-4BF2-ACD6-B76BCF300A2F}" srcOrd="1" destOrd="0" parTransId="{C59A4AAE-2156-4539-B0EB-D29F63F78D40}" sibTransId="{2A09E791-6E65-48F8-9C5F-A43881AAF17E}"/>
    <dgm:cxn modelId="{AEC49C4E-B26A-4C03-B3B7-6604EF71A704}" type="presOf" srcId="{D64ED72F-99B0-4BF2-ACD6-B76BCF300A2F}" destId="{6B102485-ACD1-48A4-B96C-C5B8038FA330}" srcOrd="0" destOrd="0" presId="urn:microsoft.com/office/officeart/2005/8/layout/hierarchy2"/>
    <dgm:cxn modelId="{258FFF94-E7AE-49AD-B568-D2AB1CFFAEF4}" type="presOf" srcId="{378925D5-D5AC-4911-A4B5-22DB3CE72054}" destId="{0CC1031A-2A74-427A-9F11-E5BDA95C1DEC}" srcOrd="1" destOrd="0" presId="urn:microsoft.com/office/officeart/2005/8/layout/hierarchy2"/>
    <dgm:cxn modelId="{A60D36A2-454E-4142-9670-87EF6A0DA4C2}" type="presOf" srcId="{EE025653-FD81-4C07-B65E-5405335F2467}" destId="{CAA01A70-B320-43D9-9EC0-7D8DC955E1CC}" srcOrd="1" destOrd="0" presId="urn:microsoft.com/office/officeart/2005/8/layout/hierarchy2"/>
    <dgm:cxn modelId="{40EAEB16-B232-4243-9B80-FE4A9F7D70D9}" type="presOf" srcId="{C59A4AAE-2156-4539-B0EB-D29F63F78D40}" destId="{0F0B5460-3925-4D82-81FC-AAD35D47FFAE}" srcOrd="0" destOrd="0" presId="urn:microsoft.com/office/officeart/2005/8/layout/hierarchy2"/>
    <dgm:cxn modelId="{5E11F07F-67A3-4A19-B5C1-83C1536DCC0F}" type="presOf" srcId="{5F2EFF9E-7DD8-4465-94F6-D56474609AD2}" destId="{F26C5195-2D18-4C71-B2BA-A9610E907ADA}" srcOrd="0" destOrd="0" presId="urn:microsoft.com/office/officeart/2005/8/layout/hierarchy2"/>
    <dgm:cxn modelId="{A19F3ACC-2BC4-43B4-9A24-A6BC8A18A2BD}" type="presOf" srcId="{5F2EFF9E-7DD8-4465-94F6-D56474609AD2}" destId="{13D0F6DE-C74A-4210-9D4F-D67810F73EE6}" srcOrd="1" destOrd="0" presId="urn:microsoft.com/office/officeart/2005/8/layout/hierarchy2"/>
    <dgm:cxn modelId="{2AD9DE06-3C85-4559-9959-6CAFDFCF0F26}" type="presOf" srcId="{5C90110E-29C5-49C7-B956-1092E825D751}" destId="{02F160F6-B1F0-4E39-AA97-C8B4528F616F}" srcOrd="1" destOrd="0" presId="urn:microsoft.com/office/officeart/2005/8/layout/hierarchy2"/>
    <dgm:cxn modelId="{8477D2E5-5552-4751-9D30-4CB6FF37574E}" type="presOf" srcId="{D7B0A9CB-AE80-43D5-B2C0-18D123049255}" destId="{41ABA384-9CCE-4FB5-AC36-FC87AB714F4D}" srcOrd="0" destOrd="0" presId="urn:microsoft.com/office/officeart/2005/8/layout/hierarchy2"/>
    <dgm:cxn modelId="{2AB42811-04AE-4A1A-993E-60DE0D314657}" type="presOf" srcId="{03067A3D-BFD8-48A5-9D7C-97DD21CE7DB4}" destId="{85400A0A-99FC-4145-8A4E-A685EA2FAEA2}" srcOrd="0" destOrd="0" presId="urn:microsoft.com/office/officeart/2005/8/layout/hierarchy2"/>
    <dgm:cxn modelId="{94216F33-4E7B-49B1-9F12-ABD5FDC399DB}" srcId="{1F7DDA76-B889-4B0E-8E39-B0C056F7E010}" destId="{4B7946E0-6F85-4131-BCEE-0AE2B5A95957}" srcOrd="3" destOrd="0" parTransId="{AD50D399-9001-4EC4-A31B-C691170F1717}" sibTransId="{73C77382-BC73-4ECA-AB11-7FF4969515F9}"/>
    <dgm:cxn modelId="{54556F64-9544-47AE-B9E5-8D17C9A84894}" type="presOf" srcId="{CDC778AB-6291-46D1-B80F-8A1255D7D00F}" destId="{8690B5A7-0A8E-497D-8E5D-0E3F4D7FE6F2}" srcOrd="0" destOrd="0" presId="urn:microsoft.com/office/officeart/2005/8/layout/hierarchy2"/>
    <dgm:cxn modelId="{AD41C792-96C2-4C7C-9068-E0E06C2BA8A8}" type="presOf" srcId="{AA8DCA47-CCB8-4475-A793-1368DD4ED0F3}" destId="{7AD03E80-E767-47C9-A59D-65F88CECA8E6}" srcOrd="1" destOrd="0" presId="urn:microsoft.com/office/officeart/2005/8/layout/hierarchy2"/>
    <dgm:cxn modelId="{95FD5FB4-6851-4D1D-8A51-6358A3A3623E}" srcId="{49A8F281-6931-4F0C-9BFC-853CBB8E97E8}" destId="{D34F5060-12A0-4E67-83F0-5C27C78AF2D8}" srcOrd="1" destOrd="0" parTransId="{03067A3D-BFD8-48A5-9D7C-97DD21CE7DB4}" sibTransId="{1664B035-5321-408A-B57F-A24463C24820}"/>
    <dgm:cxn modelId="{C57698F2-EA75-4985-875B-DF1DDF906DBD}" type="presOf" srcId="{E407F5E1-7899-4FB9-A944-88DDB56907C8}" destId="{230F65A2-D57E-4612-9B65-8F65CA6DBE82}" srcOrd="0" destOrd="0" presId="urn:microsoft.com/office/officeart/2005/8/layout/hierarchy2"/>
    <dgm:cxn modelId="{12F015A5-66A3-4E7D-8FD4-561E3F20FEC1}" type="presOf" srcId="{1474DF5B-F394-4376-AD6C-BED090CFF1C6}" destId="{C13EAC54-D968-4DC1-9B83-57F9538DA570}" srcOrd="0" destOrd="0" presId="urn:microsoft.com/office/officeart/2005/8/layout/hierarchy2"/>
    <dgm:cxn modelId="{1D0586CC-E860-4E8A-9E0A-7B6827E83954}" type="presOf" srcId="{AD50D399-9001-4EC4-A31B-C691170F1717}" destId="{F7B049B2-BDD6-4B05-9E03-BDF03E6203F0}" srcOrd="0" destOrd="0" presId="urn:microsoft.com/office/officeart/2005/8/layout/hierarchy2"/>
    <dgm:cxn modelId="{D8AA943A-73B1-4F82-AEA0-B7D36565F37B}" type="presOf" srcId="{4B7946E0-6F85-4131-BCEE-0AE2B5A95957}" destId="{712E9835-9651-4688-AF09-4C340A578B34}" srcOrd="0" destOrd="0" presId="urn:microsoft.com/office/officeart/2005/8/layout/hierarchy2"/>
    <dgm:cxn modelId="{38C5DD79-96E1-4886-A137-752D2FFE3EB0}" srcId="{BA74C546-6572-4007-98D7-DD80B270BE59}" destId="{49A8F281-6931-4F0C-9BFC-853CBB8E97E8}" srcOrd="0" destOrd="0" parTransId="{0D437795-C177-419F-B000-3239AED93F1F}" sibTransId="{F9C0354C-406A-41F0-8763-FFA3EA0F2F62}"/>
    <dgm:cxn modelId="{7DAF71BB-D6FF-4268-80C4-67FE45CAB5D5}" type="presOf" srcId="{D7B0A9CB-AE80-43D5-B2C0-18D123049255}" destId="{DC9A668E-7161-447A-8447-C6ECC68DEF73}" srcOrd="1" destOrd="0" presId="urn:microsoft.com/office/officeart/2005/8/layout/hierarchy2"/>
    <dgm:cxn modelId="{7559F752-018E-4391-9A85-71CF45EA5E4F}" type="presParOf" srcId="{76C0A117-FA49-4CB3-8FF4-AE44629063CC}" destId="{FA0F99AB-58E1-4A77-AB80-0DFF55977DD6}" srcOrd="0" destOrd="0" presId="urn:microsoft.com/office/officeart/2005/8/layout/hierarchy2"/>
    <dgm:cxn modelId="{46549C48-6C6B-481C-8020-B6899766707D}" type="presParOf" srcId="{FA0F99AB-58E1-4A77-AB80-0DFF55977DD6}" destId="{734AD33D-66B0-4202-AD94-91C7F2791ABE}" srcOrd="0" destOrd="0" presId="urn:microsoft.com/office/officeart/2005/8/layout/hierarchy2"/>
    <dgm:cxn modelId="{86410B04-CC9F-4B5F-A78F-8B16411AEBB3}" type="presParOf" srcId="{FA0F99AB-58E1-4A77-AB80-0DFF55977DD6}" destId="{037BB567-D7DB-45A0-9A4A-BEF55B238802}" srcOrd="1" destOrd="0" presId="urn:microsoft.com/office/officeart/2005/8/layout/hierarchy2"/>
    <dgm:cxn modelId="{3AE2925A-3BFF-4B34-B091-87C9B2E01356}" type="presParOf" srcId="{037BB567-D7DB-45A0-9A4A-BEF55B238802}" destId="{41ABA384-9CCE-4FB5-AC36-FC87AB714F4D}" srcOrd="0" destOrd="0" presId="urn:microsoft.com/office/officeart/2005/8/layout/hierarchy2"/>
    <dgm:cxn modelId="{232208AD-5ADA-4C8C-8115-1ECF7C7FCE85}" type="presParOf" srcId="{41ABA384-9CCE-4FB5-AC36-FC87AB714F4D}" destId="{DC9A668E-7161-447A-8447-C6ECC68DEF73}" srcOrd="0" destOrd="0" presId="urn:microsoft.com/office/officeart/2005/8/layout/hierarchy2"/>
    <dgm:cxn modelId="{BD0B0359-4D54-4E19-BC6F-43CF91C4A0C8}" type="presParOf" srcId="{037BB567-D7DB-45A0-9A4A-BEF55B238802}" destId="{0F57E4D3-7032-4FE8-A021-A0A44F257C0E}" srcOrd="1" destOrd="0" presId="urn:microsoft.com/office/officeart/2005/8/layout/hierarchy2"/>
    <dgm:cxn modelId="{2A01F14D-3931-4BC9-862B-E545E4F848D7}" type="presParOf" srcId="{0F57E4D3-7032-4FE8-A021-A0A44F257C0E}" destId="{875EACB6-A206-4BAA-876E-CA251BE67D5A}" srcOrd="0" destOrd="0" presId="urn:microsoft.com/office/officeart/2005/8/layout/hierarchy2"/>
    <dgm:cxn modelId="{0B1DD40F-B49C-44C4-826C-C110A29DF758}" type="presParOf" srcId="{0F57E4D3-7032-4FE8-A021-A0A44F257C0E}" destId="{A25D2E7A-2779-4BF6-8EC0-8816CCD3901E}" srcOrd="1" destOrd="0" presId="urn:microsoft.com/office/officeart/2005/8/layout/hierarchy2"/>
    <dgm:cxn modelId="{0FFEFD2C-FD1E-4E06-BDA4-C72188CDAB8F}" type="presParOf" srcId="{A25D2E7A-2779-4BF6-8EC0-8816CCD3901E}" destId="{F8730C99-67C6-4268-B4D5-12391EAA903E}" srcOrd="0" destOrd="0" presId="urn:microsoft.com/office/officeart/2005/8/layout/hierarchy2"/>
    <dgm:cxn modelId="{661005CB-05FC-4787-8C91-9D17ECAE1411}" type="presParOf" srcId="{F8730C99-67C6-4268-B4D5-12391EAA903E}" destId="{CAA01A70-B320-43D9-9EC0-7D8DC955E1CC}" srcOrd="0" destOrd="0" presId="urn:microsoft.com/office/officeart/2005/8/layout/hierarchy2"/>
    <dgm:cxn modelId="{FFE59A0F-D354-40BA-BD0D-C7E60A409E14}" type="presParOf" srcId="{A25D2E7A-2779-4BF6-8EC0-8816CCD3901E}" destId="{F632956D-5529-4FFE-9C22-494773DE0F93}" srcOrd="1" destOrd="0" presId="urn:microsoft.com/office/officeart/2005/8/layout/hierarchy2"/>
    <dgm:cxn modelId="{9F7D0A9B-2BCC-46F2-BF86-2D496CF0DE75}" type="presParOf" srcId="{F632956D-5529-4FFE-9C22-494773DE0F93}" destId="{8690B5A7-0A8E-497D-8E5D-0E3F4D7FE6F2}" srcOrd="0" destOrd="0" presId="urn:microsoft.com/office/officeart/2005/8/layout/hierarchy2"/>
    <dgm:cxn modelId="{792D9D5B-87C2-4AC5-8575-D8200D7BCE4B}" type="presParOf" srcId="{F632956D-5529-4FFE-9C22-494773DE0F93}" destId="{E82B9E9D-852E-421A-9E88-E3086398CB72}" srcOrd="1" destOrd="0" presId="urn:microsoft.com/office/officeart/2005/8/layout/hierarchy2"/>
    <dgm:cxn modelId="{AF1A8EE9-6584-4E4E-91D6-DEA46F96844B}" type="presParOf" srcId="{A25D2E7A-2779-4BF6-8EC0-8816CCD3901E}" destId="{0F0B5460-3925-4D82-81FC-AAD35D47FFAE}" srcOrd="2" destOrd="0" presId="urn:microsoft.com/office/officeart/2005/8/layout/hierarchy2"/>
    <dgm:cxn modelId="{E35FFF17-47DD-426E-90C5-51BF4725F894}" type="presParOf" srcId="{0F0B5460-3925-4D82-81FC-AAD35D47FFAE}" destId="{CE28A956-DEDF-4F4A-9341-428C5DF2EC28}" srcOrd="0" destOrd="0" presId="urn:microsoft.com/office/officeart/2005/8/layout/hierarchy2"/>
    <dgm:cxn modelId="{27D91BAE-F72C-4A7A-A43B-39B745385709}" type="presParOf" srcId="{A25D2E7A-2779-4BF6-8EC0-8816CCD3901E}" destId="{13F57BAA-6CBF-424B-BFD0-625887AD526E}" srcOrd="3" destOrd="0" presId="urn:microsoft.com/office/officeart/2005/8/layout/hierarchy2"/>
    <dgm:cxn modelId="{C63D2131-0DBF-4BE9-AE36-1AEF07780A64}" type="presParOf" srcId="{13F57BAA-6CBF-424B-BFD0-625887AD526E}" destId="{6B102485-ACD1-48A4-B96C-C5B8038FA330}" srcOrd="0" destOrd="0" presId="urn:microsoft.com/office/officeart/2005/8/layout/hierarchy2"/>
    <dgm:cxn modelId="{359450E2-1328-4D86-AE4E-FEA75A236D7B}" type="presParOf" srcId="{13F57BAA-6CBF-424B-BFD0-625887AD526E}" destId="{10F540C4-4A73-4246-81EE-AA7F0CAB7A5B}" srcOrd="1" destOrd="0" presId="urn:microsoft.com/office/officeart/2005/8/layout/hierarchy2"/>
    <dgm:cxn modelId="{E2878047-EA20-4EB2-B07A-B8C8DE6E96A2}" type="presParOf" srcId="{A25D2E7A-2779-4BF6-8EC0-8816CCD3901E}" destId="{F26C5195-2D18-4C71-B2BA-A9610E907ADA}" srcOrd="4" destOrd="0" presId="urn:microsoft.com/office/officeart/2005/8/layout/hierarchy2"/>
    <dgm:cxn modelId="{CCE4D3A1-05CF-40E2-B75E-BB79B5648893}" type="presParOf" srcId="{F26C5195-2D18-4C71-B2BA-A9610E907ADA}" destId="{13D0F6DE-C74A-4210-9D4F-D67810F73EE6}" srcOrd="0" destOrd="0" presId="urn:microsoft.com/office/officeart/2005/8/layout/hierarchy2"/>
    <dgm:cxn modelId="{56197E66-159E-4D18-9073-AE5AD349081E}" type="presParOf" srcId="{A25D2E7A-2779-4BF6-8EC0-8816CCD3901E}" destId="{585567E8-AA30-4FB0-A815-8AA0EDB20C73}" srcOrd="5" destOrd="0" presId="urn:microsoft.com/office/officeart/2005/8/layout/hierarchy2"/>
    <dgm:cxn modelId="{DCC90C2E-1F27-499C-9CE4-B673370EA7CE}" type="presParOf" srcId="{585567E8-AA30-4FB0-A815-8AA0EDB20C73}" destId="{AAB2E39A-9380-41F0-8E06-D1E0F3B68D18}" srcOrd="0" destOrd="0" presId="urn:microsoft.com/office/officeart/2005/8/layout/hierarchy2"/>
    <dgm:cxn modelId="{00E48103-7583-4E10-8811-97C59A1A7214}" type="presParOf" srcId="{585567E8-AA30-4FB0-A815-8AA0EDB20C73}" destId="{680AFDC2-4411-4DFD-B737-63BBCA7DAB04}" srcOrd="1" destOrd="0" presId="urn:microsoft.com/office/officeart/2005/8/layout/hierarchy2"/>
    <dgm:cxn modelId="{916352E4-774A-427F-B374-BBB1BF9193B5}" type="presParOf" srcId="{A25D2E7A-2779-4BF6-8EC0-8816CCD3901E}" destId="{F7B049B2-BDD6-4B05-9E03-BDF03E6203F0}" srcOrd="6" destOrd="0" presId="urn:microsoft.com/office/officeart/2005/8/layout/hierarchy2"/>
    <dgm:cxn modelId="{E5CB4774-D1D9-444D-B9F4-18D22D724A49}" type="presParOf" srcId="{F7B049B2-BDD6-4B05-9E03-BDF03E6203F0}" destId="{239C87F2-64F8-45CD-BB88-3CD6450B0F41}" srcOrd="0" destOrd="0" presId="urn:microsoft.com/office/officeart/2005/8/layout/hierarchy2"/>
    <dgm:cxn modelId="{9DB77D1E-5529-4C5D-A00B-5FD2F77004CF}" type="presParOf" srcId="{A25D2E7A-2779-4BF6-8EC0-8816CCD3901E}" destId="{121A40DB-E3D0-496A-85EE-EBD1FDBD5202}" srcOrd="7" destOrd="0" presId="urn:microsoft.com/office/officeart/2005/8/layout/hierarchy2"/>
    <dgm:cxn modelId="{7DEA03FA-ECA7-4825-AA79-F8CE3DC94B87}" type="presParOf" srcId="{121A40DB-E3D0-496A-85EE-EBD1FDBD5202}" destId="{712E9835-9651-4688-AF09-4C340A578B34}" srcOrd="0" destOrd="0" presId="urn:microsoft.com/office/officeart/2005/8/layout/hierarchy2"/>
    <dgm:cxn modelId="{47B610FF-6FB0-4FFE-95F6-78E10FA65DAA}" type="presParOf" srcId="{121A40DB-E3D0-496A-85EE-EBD1FDBD5202}" destId="{D5AEE5F3-2F5C-4527-9683-09B564B5EBCA}" srcOrd="1" destOrd="0" presId="urn:microsoft.com/office/officeart/2005/8/layout/hierarchy2"/>
    <dgm:cxn modelId="{B16CA614-AABF-4517-896B-77E396D6A79D}" type="presParOf" srcId="{A25D2E7A-2779-4BF6-8EC0-8816CCD3901E}" destId="{61E4DB06-D971-4B95-9723-C90D9F87CAE4}" srcOrd="8" destOrd="0" presId="urn:microsoft.com/office/officeart/2005/8/layout/hierarchy2"/>
    <dgm:cxn modelId="{63B68418-23E0-45C6-9453-9C72E0AF8B20}" type="presParOf" srcId="{61E4DB06-D971-4B95-9723-C90D9F87CAE4}" destId="{02F160F6-B1F0-4E39-AA97-C8B4528F616F}" srcOrd="0" destOrd="0" presId="urn:microsoft.com/office/officeart/2005/8/layout/hierarchy2"/>
    <dgm:cxn modelId="{71CC1EEF-93E0-43FA-80B3-231ED0595E8D}" type="presParOf" srcId="{A25D2E7A-2779-4BF6-8EC0-8816CCD3901E}" destId="{AED0B2B3-80E7-4DB2-A2B3-8C4A7F3638CD}" srcOrd="9" destOrd="0" presId="urn:microsoft.com/office/officeart/2005/8/layout/hierarchy2"/>
    <dgm:cxn modelId="{EB91CDEB-C668-440A-ACD7-F651FA0B31AE}" type="presParOf" srcId="{AED0B2B3-80E7-4DB2-A2B3-8C4A7F3638CD}" destId="{C13EAC54-D968-4DC1-9B83-57F9538DA570}" srcOrd="0" destOrd="0" presId="urn:microsoft.com/office/officeart/2005/8/layout/hierarchy2"/>
    <dgm:cxn modelId="{EBB5C51B-051B-4AB9-8F8E-92C72493D7F7}" type="presParOf" srcId="{AED0B2B3-80E7-4DB2-A2B3-8C4A7F3638CD}" destId="{57A58116-34C4-40C9-B230-65A919FC18FE}" srcOrd="1" destOrd="0" presId="urn:microsoft.com/office/officeart/2005/8/layout/hierarchy2"/>
    <dgm:cxn modelId="{5FA8A257-0C8F-4C1A-971B-765CAEF6B0E3}" type="presParOf" srcId="{A25D2E7A-2779-4BF6-8EC0-8816CCD3901E}" destId="{230F65A2-D57E-4612-9B65-8F65CA6DBE82}" srcOrd="10" destOrd="0" presId="urn:microsoft.com/office/officeart/2005/8/layout/hierarchy2"/>
    <dgm:cxn modelId="{E2ADAA91-89AF-4F9B-B0B6-E9CE6B8FA016}" type="presParOf" srcId="{230F65A2-D57E-4612-9B65-8F65CA6DBE82}" destId="{AE099CF2-F911-48C6-9ABD-F6E997D51529}" srcOrd="0" destOrd="0" presId="urn:microsoft.com/office/officeart/2005/8/layout/hierarchy2"/>
    <dgm:cxn modelId="{45B846EE-373C-4DCD-B5F7-00D806681B4C}" type="presParOf" srcId="{A25D2E7A-2779-4BF6-8EC0-8816CCD3901E}" destId="{E2230190-82FE-4125-A342-5D01E39E5967}" srcOrd="11" destOrd="0" presId="urn:microsoft.com/office/officeart/2005/8/layout/hierarchy2"/>
    <dgm:cxn modelId="{0EC222C0-D660-4A75-B011-DF7BD42E5270}" type="presParOf" srcId="{E2230190-82FE-4125-A342-5D01E39E5967}" destId="{2EE5A8F5-4661-45F7-BAA0-5C9996400B8D}" srcOrd="0" destOrd="0" presId="urn:microsoft.com/office/officeart/2005/8/layout/hierarchy2"/>
    <dgm:cxn modelId="{448774E9-DB0B-489E-BBD2-AFEDA59BEEBE}" type="presParOf" srcId="{E2230190-82FE-4125-A342-5D01E39E5967}" destId="{E999A1AD-1D3E-4A97-9F3F-97F307525E46}" srcOrd="1" destOrd="0" presId="urn:microsoft.com/office/officeart/2005/8/layout/hierarchy2"/>
    <dgm:cxn modelId="{2B223449-4AAC-49B8-B6C4-2E227D44C996}" type="presParOf" srcId="{A25D2E7A-2779-4BF6-8EC0-8816CCD3901E}" destId="{F21F804E-39A1-46AF-B98A-245FF50C27B4}" srcOrd="12" destOrd="0" presId="urn:microsoft.com/office/officeart/2005/8/layout/hierarchy2"/>
    <dgm:cxn modelId="{0061CDC4-36E7-4683-AE3C-345E6861C9AE}" type="presParOf" srcId="{F21F804E-39A1-46AF-B98A-245FF50C27B4}" destId="{0CC1031A-2A74-427A-9F11-E5BDA95C1DEC}" srcOrd="0" destOrd="0" presId="urn:microsoft.com/office/officeart/2005/8/layout/hierarchy2"/>
    <dgm:cxn modelId="{AF18390C-BE35-4E08-96FE-7540542356C5}" type="presParOf" srcId="{A25D2E7A-2779-4BF6-8EC0-8816CCD3901E}" destId="{AD119D40-46AF-416B-B004-8B011ADD7E8D}" srcOrd="13" destOrd="0" presId="urn:microsoft.com/office/officeart/2005/8/layout/hierarchy2"/>
    <dgm:cxn modelId="{1684B282-7B4B-4FA1-B9CA-A882AC4129E7}" type="presParOf" srcId="{AD119D40-46AF-416B-B004-8B011ADD7E8D}" destId="{AAC2EAD8-FE60-4CF8-B5CA-B214FD24E159}" srcOrd="0" destOrd="0" presId="urn:microsoft.com/office/officeart/2005/8/layout/hierarchy2"/>
    <dgm:cxn modelId="{AE5F0FA5-8308-45CE-827A-7397CA67693E}" type="presParOf" srcId="{AD119D40-46AF-416B-B004-8B011ADD7E8D}" destId="{A033A042-91BD-4788-B394-D9771F4A4556}" srcOrd="1" destOrd="0" presId="urn:microsoft.com/office/officeart/2005/8/layout/hierarchy2"/>
    <dgm:cxn modelId="{2EF5FFC7-E4BC-4AB4-AC34-F9383FE46C7D}" type="presParOf" srcId="{037BB567-D7DB-45A0-9A4A-BEF55B238802}" destId="{85400A0A-99FC-4145-8A4E-A685EA2FAEA2}" srcOrd="2" destOrd="0" presId="urn:microsoft.com/office/officeart/2005/8/layout/hierarchy2"/>
    <dgm:cxn modelId="{D129E001-770B-43A6-9D70-520F0EBBAAF2}" type="presParOf" srcId="{85400A0A-99FC-4145-8A4E-A685EA2FAEA2}" destId="{710BA575-C92A-453C-8D31-3C85F27F8661}" srcOrd="0" destOrd="0" presId="urn:microsoft.com/office/officeart/2005/8/layout/hierarchy2"/>
    <dgm:cxn modelId="{659CD47B-8CBF-4944-935A-F34637C1BAC8}" type="presParOf" srcId="{037BB567-D7DB-45A0-9A4A-BEF55B238802}" destId="{483EAD9C-B5C9-47E6-AC63-DA0A9A3EDD41}" srcOrd="3" destOrd="0" presId="urn:microsoft.com/office/officeart/2005/8/layout/hierarchy2"/>
    <dgm:cxn modelId="{E16A68EC-FEF7-44DF-B369-021F6894953D}" type="presParOf" srcId="{483EAD9C-B5C9-47E6-AC63-DA0A9A3EDD41}" destId="{11669BC3-7088-4748-892F-DC6D5BA113B2}" srcOrd="0" destOrd="0" presId="urn:microsoft.com/office/officeart/2005/8/layout/hierarchy2"/>
    <dgm:cxn modelId="{4538FBC5-512A-4E57-B56D-97CB72466D64}" type="presParOf" srcId="{483EAD9C-B5C9-47E6-AC63-DA0A9A3EDD41}" destId="{A21A6559-9613-4F8B-B191-1F05DA0B5133}" srcOrd="1" destOrd="0" presId="urn:microsoft.com/office/officeart/2005/8/layout/hierarchy2"/>
    <dgm:cxn modelId="{DE663AD6-0ED1-435D-B98D-37541CC4EE9A}" type="presParOf" srcId="{A21A6559-9613-4F8B-B191-1F05DA0B5133}" destId="{FCC17A86-635F-4569-A001-56280602F889}" srcOrd="0" destOrd="0" presId="urn:microsoft.com/office/officeart/2005/8/layout/hierarchy2"/>
    <dgm:cxn modelId="{1730F0BB-7B49-4565-9ABF-425A452C55FD}" type="presParOf" srcId="{FCC17A86-635F-4569-A001-56280602F889}" destId="{7AD03E80-E767-47C9-A59D-65F88CECA8E6}" srcOrd="0" destOrd="0" presId="urn:microsoft.com/office/officeart/2005/8/layout/hierarchy2"/>
    <dgm:cxn modelId="{6A34FFBD-DD91-4A36-AD31-92DB857DDF9F}" type="presParOf" srcId="{A21A6559-9613-4F8B-B191-1F05DA0B5133}" destId="{4B8989D3-7666-4198-9662-F34DB9BA8037}" srcOrd="1" destOrd="0" presId="urn:microsoft.com/office/officeart/2005/8/layout/hierarchy2"/>
    <dgm:cxn modelId="{E1CD6D5A-DB6F-4D7B-AA66-995504C06796}" type="presParOf" srcId="{4B8989D3-7666-4198-9662-F34DB9BA8037}" destId="{983A5402-0C8B-439F-BF78-7CD8294A5FA1}" srcOrd="0" destOrd="0" presId="urn:microsoft.com/office/officeart/2005/8/layout/hierarchy2"/>
    <dgm:cxn modelId="{ECBB588F-D17A-4F72-BAF8-DE83CFB053BD}" type="presParOf" srcId="{4B8989D3-7666-4198-9662-F34DB9BA8037}" destId="{55ED88BE-5C83-4610-9482-EC8B3BB0AE08}" srcOrd="1" destOrd="0" presId="urn:microsoft.com/office/officeart/2005/8/layout/hierarchy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A74C546-6572-4007-98D7-DD80B270BE59}" type="doc">
      <dgm:prSet loTypeId="urn:microsoft.com/office/officeart/2005/8/layout/hierarchy2" loCatId="hierarchy" qsTypeId="urn:microsoft.com/office/officeart/2005/8/quickstyle/simple4" qsCatId="simple" csTypeId="urn:microsoft.com/office/officeart/2005/8/colors/colorful3" csCatId="colorful" phldr="1"/>
      <dgm:spPr/>
      <dgm:t>
        <a:bodyPr/>
        <a:lstStyle/>
        <a:p>
          <a:endParaRPr lang="en-US"/>
        </a:p>
      </dgm:t>
    </dgm:pt>
    <dgm:pt modelId="{49A8F281-6931-4F0C-9BFC-853CBB8E97E8}">
      <dgm:prSet phldrT="[Text]" custT="1">
        <dgm:style>
          <a:lnRef idx="1">
            <a:schemeClr val="accent3"/>
          </a:lnRef>
          <a:fillRef idx="3">
            <a:schemeClr val="accent3"/>
          </a:fillRef>
          <a:effectRef idx="2">
            <a:schemeClr val="accent3"/>
          </a:effectRef>
          <a:fontRef idx="minor">
            <a:schemeClr val="lt1"/>
          </a:fontRef>
        </dgm:style>
      </dgm:prSet>
      <dgm:spPr>
        <a:xfrm>
          <a:off x="1407584" y="2159943"/>
          <a:ext cx="750580" cy="375290"/>
        </a:xfr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dgm:spPr>
      <dgm:t>
        <a:bodyPr/>
        <a:lstStyle/>
        <a:p>
          <a:r>
            <a:rPr lang="en-US" sz="1200" b="1">
              <a:solidFill>
                <a:sysClr val="window" lastClr="FFFFFF"/>
              </a:solidFill>
              <a:latin typeface="Times New Roman" pitchFamily="18" charset="0"/>
              <a:ea typeface="+mn-ea"/>
              <a:cs typeface="Times New Roman" pitchFamily="18" charset="0"/>
            </a:rPr>
            <a:t>Green Finance</a:t>
          </a:r>
        </a:p>
      </dgm:t>
    </dgm:pt>
    <dgm:pt modelId="{0D437795-C177-419F-B000-3239AED93F1F}" type="parTrans" cxnId="{38C5DD79-96E1-4886-A137-752D2FFE3EB0}">
      <dgm:prSet/>
      <dgm:spPr/>
      <dgm:t>
        <a:bodyPr/>
        <a:lstStyle/>
        <a:p>
          <a:endParaRPr lang="en-US"/>
        </a:p>
      </dgm:t>
    </dgm:pt>
    <dgm:pt modelId="{F9C0354C-406A-41F0-8763-FFA3EA0F2F62}" type="sibTrans" cxnId="{38C5DD79-96E1-4886-A137-752D2FFE3EB0}">
      <dgm:prSet/>
      <dgm:spPr/>
      <dgm:t>
        <a:bodyPr/>
        <a:lstStyle/>
        <a:p>
          <a:endParaRPr lang="en-US"/>
        </a:p>
      </dgm:t>
    </dgm:pt>
    <dgm:pt modelId="{1F7DDA76-B889-4B0E-8E39-B0C056F7E010}">
      <dgm:prSet phldrT="[Text]" custT="1">
        <dgm:style>
          <a:lnRef idx="1">
            <a:schemeClr val="accent1"/>
          </a:lnRef>
          <a:fillRef idx="3">
            <a:schemeClr val="accent1"/>
          </a:fillRef>
          <a:effectRef idx="2">
            <a:schemeClr val="accent1"/>
          </a:effectRef>
          <a:fontRef idx="minor">
            <a:schemeClr val="lt1"/>
          </a:fontRef>
        </dgm:style>
      </dgm:prSet>
      <dgm:spPr>
        <a:xfrm>
          <a:off x="2544122" y="1296775"/>
          <a:ext cx="750580" cy="375290"/>
        </a:xfr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dgm:spPr>
      <dgm:t>
        <a:bodyPr/>
        <a:lstStyle/>
        <a:p>
          <a:r>
            <a:rPr lang="en-US" sz="1000" b="0">
              <a:solidFill>
                <a:sysClr val="window" lastClr="FFFFFF"/>
              </a:solidFill>
              <a:latin typeface="Times New Roman" pitchFamily="18" charset="0"/>
              <a:ea typeface="+mn-ea"/>
              <a:cs typeface="Times New Roman" pitchFamily="18" charset="0"/>
            </a:rPr>
            <a:t>Direct Green Finance </a:t>
          </a:r>
        </a:p>
      </dgm:t>
    </dgm:pt>
    <dgm:pt modelId="{D7B0A9CB-AE80-43D5-B2C0-18D123049255}" type="parTrans" cxnId="{FC96E1B5-16FB-4027-BB2D-EA4D2553738A}">
      <dgm:prSet/>
      <dgm:spPr>
        <a:xfrm rot="17645477">
          <a:off x="1878380" y="1906071"/>
          <a:ext cx="945526" cy="19865"/>
        </a:xfrm>
        <a:noFill/>
        <a:ln w="9525" cap="flat" cmpd="sng" algn="ctr">
          <a:solidFill>
            <a:srgbClr val="8064A2">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869AFD52-C931-4F99-8669-5C48445F3804}" type="sibTrans" cxnId="{FC96E1B5-16FB-4027-BB2D-EA4D2553738A}">
      <dgm:prSet/>
      <dgm:spPr/>
      <dgm:t>
        <a:bodyPr/>
        <a:lstStyle/>
        <a:p>
          <a:endParaRPr lang="en-US"/>
        </a:p>
      </dgm:t>
    </dgm:pt>
    <dgm:pt modelId="{CDC778AB-6291-46D1-B80F-8A1255D7D00F}">
      <dgm:prSet phldrT="[Text]" custT="1">
        <dgm:style>
          <a:lnRef idx="2">
            <a:schemeClr val="accent4">
              <a:shade val="50000"/>
            </a:schemeClr>
          </a:lnRef>
          <a:fillRef idx="1">
            <a:schemeClr val="accent4"/>
          </a:fillRef>
          <a:effectRef idx="0">
            <a:schemeClr val="accent4"/>
          </a:effectRef>
          <a:fontRef idx="minor">
            <a:schemeClr val="lt1"/>
          </a:fontRef>
        </dgm:style>
      </dgm:prSet>
      <dgm:spPr>
        <a:xfrm>
          <a:off x="3594935" y="2023"/>
          <a:ext cx="750580" cy="375290"/>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Installation of ETP</a:t>
          </a:r>
        </a:p>
      </dgm:t>
    </dgm:pt>
    <dgm:pt modelId="{EE025653-FD81-4C07-B65E-5405335F2467}" type="parTrans" cxnId="{D2341A43-11AD-4A34-A5F0-6DD137E75BE7}">
      <dgm:prSet/>
      <dgm:spPr>
        <a:xfrm rot="16983315">
          <a:off x="2780266" y="827111"/>
          <a:ext cx="1329105" cy="1986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299D34F-7909-41B2-81CA-61D9FC2AC912}" type="sibTrans" cxnId="{D2341A43-11AD-4A34-A5F0-6DD137E75BE7}">
      <dgm:prSet/>
      <dgm:spPr/>
      <dgm:t>
        <a:bodyPr/>
        <a:lstStyle/>
        <a:p>
          <a:endParaRPr lang="en-US"/>
        </a:p>
      </dgm:t>
    </dgm:pt>
    <dgm:pt modelId="{D64ED72F-99B0-4BF2-ACD6-B76BCF300A2F}">
      <dgm:prSet phldrT="[Text]" custT="1">
        <dgm:style>
          <a:lnRef idx="2">
            <a:schemeClr val="accent4">
              <a:shade val="50000"/>
            </a:schemeClr>
          </a:lnRef>
          <a:fillRef idx="1">
            <a:schemeClr val="accent4"/>
          </a:fillRef>
          <a:effectRef idx="0">
            <a:schemeClr val="accent4"/>
          </a:effectRef>
          <a:fontRef idx="minor">
            <a:schemeClr val="lt1"/>
          </a:fontRef>
        </dgm:style>
      </dgm:prSet>
      <dgm:spPr>
        <a:xfrm>
          <a:off x="3594935" y="433607"/>
          <a:ext cx="750580" cy="375290"/>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Bio-gas Plant</a:t>
          </a:r>
        </a:p>
      </dgm:t>
    </dgm:pt>
    <dgm:pt modelId="{C59A4AAE-2156-4539-B0EB-D29F63F78D40}" type="parTrans" cxnId="{B2AA3E64-1437-4E3B-BE11-98E1A332BEE3}">
      <dgm:prSet/>
      <dgm:spPr>
        <a:xfrm rot="17350740">
          <a:off x="2987873" y="1042903"/>
          <a:ext cx="913891" cy="1986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A09E791-6E65-48F8-9C5F-A43881AAF17E}" type="sibTrans" cxnId="{B2AA3E64-1437-4E3B-BE11-98E1A332BEE3}">
      <dgm:prSet/>
      <dgm:spPr/>
      <dgm:t>
        <a:bodyPr/>
        <a:lstStyle/>
        <a:p>
          <a:endParaRPr lang="en-US"/>
        </a:p>
      </dgm:t>
    </dgm:pt>
    <dgm:pt modelId="{D34F5060-12A0-4E67-83F0-5C27C78AF2D8}">
      <dgm:prSet phldrT="[Text]" custT="1">
        <dgm:style>
          <a:lnRef idx="1">
            <a:schemeClr val="accent1"/>
          </a:lnRef>
          <a:fillRef idx="3">
            <a:schemeClr val="accent1"/>
          </a:fillRef>
          <a:effectRef idx="2">
            <a:schemeClr val="accent1"/>
          </a:effectRef>
          <a:fontRef idx="minor">
            <a:schemeClr val="lt1"/>
          </a:fontRef>
        </dgm:style>
      </dgm:prSet>
      <dgm:spPr>
        <a:xfrm>
          <a:off x="2544122" y="3023111"/>
          <a:ext cx="750580" cy="375290"/>
        </a:xfr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dgm:spPr>
      <dgm:t>
        <a:bodyPr/>
        <a:lstStyle/>
        <a:p>
          <a:r>
            <a:rPr lang="en-US" sz="1000" b="0">
              <a:solidFill>
                <a:sysClr val="window" lastClr="FFFFFF"/>
              </a:solidFill>
              <a:latin typeface="Times New Roman" pitchFamily="18" charset="0"/>
              <a:ea typeface="+mn-ea"/>
              <a:cs typeface="Times New Roman" pitchFamily="18" charset="0"/>
            </a:rPr>
            <a:t>Indirect Green Finance </a:t>
          </a:r>
        </a:p>
      </dgm:t>
    </dgm:pt>
    <dgm:pt modelId="{03067A3D-BFD8-48A5-9D7C-97DD21CE7DB4}" type="parTrans" cxnId="{95FD5FB4-6851-4D1D-8A51-6358A3A3623E}">
      <dgm:prSet/>
      <dgm:spPr>
        <a:xfrm rot="3954523">
          <a:off x="1878380" y="2769239"/>
          <a:ext cx="945526" cy="19865"/>
        </a:xfrm>
        <a:noFill/>
        <a:ln w="9525" cap="flat" cmpd="sng" algn="ctr">
          <a:solidFill>
            <a:srgbClr val="8064A2">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664B035-5321-408A-B57F-A24463C24820}" type="sibTrans" cxnId="{95FD5FB4-6851-4D1D-8A51-6358A3A3623E}">
      <dgm:prSet/>
      <dgm:spPr/>
      <dgm:t>
        <a:bodyPr/>
        <a:lstStyle/>
        <a:p>
          <a:endParaRPr lang="en-US"/>
        </a:p>
      </dgm:t>
    </dgm:pt>
    <dgm:pt modelId="{02E7A6CF-EF0A-4D71-B62A-C47D0BA14BCA}">
      <dgm:prSet phldrT="[Text]" custT="1">
        <dgm:style>
          <a:lnRef idx="2">
            <a:schemeClr val="accent2">
              <a:shade val="50000"/>
            </a:schemeClr>
          </a:lnRef>
          <a:fillRef idx="1">
            <a:schemeClr val="accent2"/>
          </a:fillRef>
          <a:effectRef idx="0">
            <a:schemeClr val="accent2"/>
          </a:effectRef>
          <a:fontRef idx="minor">
            <a:schemeClr val="lt1"/>
          </a:fontRef>
        </dgm:style>
      </dgm:prSet>
      <dgm:spPr>
        <a:xfrm>
          <a:off x="3594935" y="3023111"/>
          <a:ext cx="750580" cy="375290"/>
        </a:xfrm>
        <a:solidFill>
          <a:srgbClr val="C0504D"/>
        </a:solidFill>
        <a:ln w="25400" cap="flat" cmpd="sng" algn="ctr">
          <a:solidFill>
            <a:srgbClr val="C0504D">
              <a:shade val="50000"/>
            </a:srgbClr>
          </a:solidFill>
          <a:prstDash val="solid"/>
        </a:ln>
        <a:effectLst/>
      </dgm:spPr>
      <dgm:t>
        <a:bodyPr/>
        <a:lstStyle/>
        <a:p>
          <a:r>
            <a:rPr lang="en-US" sz="900">
              <a:solidFill>
                <a:sysClr val="window" lastClr="FFFFFF"/>
              </a:solidFill>
              <a:latin typeface="Times New Roman" pitchFamily="18" charset="0"/>
              <a:ea typeface="+mn-ea"/>
              <a:cs typeface="Times New Roman" pitchFamily="18" charset="0"/>
            </a:rPr>
            <a:t>Project Financed having ETP</a:t>
          </a:r>
        </a:p>
      </dgm:t>
    </dgm:pt>
    <dgm:pt modelId="{AA8DCA47-CCB8-4475-A793-1368DD4ED0F3}" type="parTrans" cxnId="{6F8667CD-3D1B-4746-AEAF-675239824F98}">
      <dgm:prSet/>
      <dgm:spPr>
        <a:xfrm>
          <a:off x="3294702" y="3200823"/>
          <a:ext cx="300232" cy="1986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DC14311-AB0E-4ABB-9328-BB484A98FB08}" type="sibTrans" cxnId="{6F8667CD-3D1B-4746-AEAF-675239824F98}">
      <dgm:prSet/>
      <dgm:spPr/>
      <dgm:t>
        <a:bodyPr/>
        <a:lstStyle/>
        <a:p>
          <a:endParaRPr lang="en-US"/>
        </a:p>
      </dgm:t>
    </dgm:pt>
    <dgm:pt modelId="{F838A106-BD4C-473A-B582-4F30C9314148}">
      <dgm:prSet custT="1">
        <dgm:style>
          <a:lnRef idx="2">
            <a:schemeClr val="accent4">
              <a:shade val="50000"/>
            </a:schemeClr>
          </a:lnRef>
          <a:fillRef idx="1">
            <a:schemeClr val="accent4"/>
          </a:fillRef>
          <a:effectRef idx="0">
            <a:schemeClr val="accent4"/>
          </a:effectRef>
          <a:fontRef idx="minor">
            <a:schemeClr val="lt1"/>
          </a:fontRef>
        </dgm:style>
      </dgm:prSet>
      <dgm:spPr>
        <a:xfrm>
          <a:off x="3594935" y="865191"/>
          <a:ext cx="750580" cy="375290"/>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Solar Panel/ Renewable Energy Plant</a:t>
          </a:r>
        </a:p>
      </dgm:t>
    </dgm:pt>
    <dgm:pt modelId="{5F2EFF9E-7DD8-4465-94F6-D56474609AD2}" type="parTrans" cxnId="{5CB88F68-35D0-4E5A-B3BF-F950F63EE1A8}">
      <dgm:prSet/>
      <dgm:spPr>
        <a:xfrm rot="18289469">
          <a:off x="3181948" y="1258695"/>
          <a:ext cx="525741" cy="1986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F56A221-59DD-4612-9FA3-40FDA47F251E}" type="sibTrans" cxnId="{5CB88F68-35D0-4E5A-B3BF-F950F63EE1A8}">
      <dgm:prSet/>
      <dgm:spPr/>
      <dgm:t>
        <a:bodyPr/>
        <a:lstStyle/>
        <a:p>
          <a:endParaRPr lang="en-US"/>
        </a:p>
      </dgm:t>
    </dgm:pt>
    <dgm:pt modelId="{1474DF5B-F394-4376-AD6C-BED090CFF1C6}">
      <dgm:prSet custT="1">
        <dgm:style>
          <a:lnRef idx="2">
            <a:schemeClr val="accent4">
              <a:shade val="50000"/>
            </a:schemeClr>
          </a:lnRef>
          <a:fillRef idx="1">
            <a:schemeClr val="accent4"/>
          </a:fillRef>
          <a:effectRef idx="0">
            <a:schemeClr val="accent4"/>
          </a:effectRef>
          <a:fontRef idx="minor">
            <a:schemeClr val="lt1"/>
          </a:fontRef>
        </dgm:style>
      </dgm:prSet>
      <dgm:spPr>
        <a:xfrm>
          <a:off x="3594935" y="1728359"/>
          <a:ext cx="750580" cy="375290"/>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Hybrid Hoffman Klin (HHK)</a:t>
          </a:r>
        </a:p>
      </dgm:t>
    </dgm:pt>
    <dgm:pt modelId="{5C90110E-29C5-49C7-B956-1092E825D751}" type="parTrans" cxnId="{83DEAEC1-2DA7-400B-A285-21E724F12025}">
      <dgm:prSet/>
      <dgm:spPr>
        <a:xfrm rot="3310531">
          <a:off x="3181948" y="1690279"/>
          <a:ext cx="525741" cy="1986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C993E69-22EA-44F2-A651-4B6F38FC2A86}" type="sibTrans" cxnId="{83DEAEC1-2DA7-400B-A285-21E724F12025}">
      <dgm:prSet/>
      <dgm:spPr/>
      <dgm:t>
        <a:bodyPr/>
        <a:lstStyle/>
        <a:p>
          <a:endParaRPr lang="en-US"/>
        </a:p>
      </dgm:t>
    </dgm:pt>
    <dgm:pt modelId="{4B7946E0-6F85-4131-BCEE-0AE2B5A95957}">
      <dgm:prSet custT="1">
        <dgm:style>
          <a:lnRef idx="2">
            <a:schemeClr val="accent4">
              <a:shade val="50000"/>
            </a:schemeClr>
          </a:lnRef>
          <a:fillRef idx="1">
            <a:schemeClr val="accent4"/>
          </a:fillRef>
          <a:effectRef idx="0">
            <a:schemeClr val="accent4"/>
          </a:effectRef>
          <a:fontRef idx="minor">
            <a:schemeClr val="lt1"/>
          </a:fontRef>
        </dgm:style>
      </dgm:prSet>
      <dgm:spPr>
        <a:xfrm>
          <a:off x="3594935" y="1296775"/>
          <a:ext cx="750580" cy="375290"/>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Bio-fertilizer</a:t>
          </a:r>
          <a:r>
            <a:rPr lang="en-US" sz="800" baseline="0">
              <a:solidFill>
                <a:sysClr val="window" lastClr="FFFFFF"/>
              </a:solidFill>
              <a:latin typeface="Times New Roman" pitchFamily="18" charset="0"/>
              <a:ea typeface="+mn-ea"/>
              <a:cs typeface="Times New Roman" pitchFamily="18" charset="0"/>
            </a:rPr>
            <a:t> Plant</a:t>
          </a:r>
          <a:endParaRPr lang="en-US" sz="800">
            <a:solidFill>
              <a:sysClr val="window" lastClr="FFFFFF"/>
            </a:solidFill>
            <a:latin typeface="Times New Roman" pitchFamily="18" charset="0"/>
            <a:ea typeface="+mn-ea"/>
            <a:cs typeface="Times New Roman" pitchFamily="18" charset="0"/>
          </a:endParaRPr>
        </a:p>
      </dgm:t>
    </dgm:pt>
    <dgm:pt modelId="{AD50D399-9001-4EC4-A31B-C691170F1717}" type="parTrans" cxnId="{94216F33-4E7B-49B1-9F12-ABD5FDC399DB}">
      <dgm:prSet/>
      <dgm:spPr>
        <a:xfrm>
          <a:off x="3294702" y="1474487"/>
          <a:ext cx="300232" cy="1986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3C77382-BC73-4ECA-AB11-7FF4969515F9}" type="sibTrans" cxnId="{94216F33-4E7B-49B1-9F12-ABD5FDC399DB}">
      <dgm:prSet/>
      <dgm:spPr/>
      <dgm:t>
        <a:bodyPr/>
        <a:lstStyle/>
        <a:p>
          <a:endParaRPr lang="en-US"/>
        </a:p>
      </dgm:t>
    </dgm:pt>
    <dgm:pt modelId="{498DF5E8-3759-4034-81AE-BB754DC99FB6}">
      <dgm:prSet custT="1">
        <dgm:style>
          <a:lnRef idx="2">
            <a:schemeClr val="accent4">
              <a:shade val="50000"/>
            </a:schemeClr>
          </a:lnRef>
          <a:fillRef idx="1">
            <a:schemeClr val="accent4"/>
          </a:fillRef>
          <a:effectRef idx="0">
            <a:schemeClr val="accent4"/>
          </a:effectRef>
          <a:fontRef idx="minor">
            <a:schemeClr val="lt1"/>
          </a:fontRef>
        </dgm:style>
      </dgm:prSet>
      <dgm:spPr>
        <a:xfrm>
          <a:off x="3594935" y="2159943"/>
          <a:ext cx="750580" cy="375290"/>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Others </a:t>
          </a:r>
        </a:p>
      </dgm:t>
    </dgm:pt>
    <dgm:pt modelId="{E407F5E1-7899-4FB9-A944-88DDB56907C8}" type="parTrans" cxnId="{ED56F536-0BD2-44A0-A096-C3350A99511C}">
      <dgm:prSet/>
      <dgm:spPr>
        <a:xfrm rot="4249260">
          <a:off x="2987873" y="1906071"/>
          <a:ext cx="913891" cy="1986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F88F29C-0788-42D0-8C1A-68512F641336}" type="sibTrans" cxnId="{ED56F536-0BD2-44A0-A096-C3350A99511C}">
      <dgm:prSet/>
      <dgm:spPr/>
      <dgm:t>
        <a:bodyPr/>
        <a:lstStyle/>
        <a:p>
          <a:endParaRPr lang="en-US"/>
        </a:p>
      </dgm:t>
    </dgm:pt>
    <dgm:pt modelId="{E93D4128-24BF-4C53-BB2F-F637BADD6071}">
      <dgm:prSet custT="1">
        <dgm:style>
          <a:lnRef idx="2">
            <a:schemeClr val="accent4">
              <a:shade val="50000"/>
            </a:schemeClr>
          </a:lnRef>
          <a:fillRef idx="1">
            <a:schemeClr val="accent4"/>
          </a:fillRef>
          <a:effectRef idx="0">
            <a:schemeClr val="accent4"/>
          </a:effectRef>
          <a:fontRef idx="minor">
            <a:schemeClr val="lt1"/>
          </a:fontRef>
        </dgm:style>
      </dgm:prSet>
      <dgm:spPr>
        <a:xfrm>
          <a:off x="3594935" y="2591527"/>
          <a:ext cx="750580" cy="375290"/>
        </a:xfrm>
        <a:solidFill>
          <a:srgbClr val="8064A2"/>
        </a:solidFill>
        <a:ln w="25400" cap="flat" cmpd="sng" algn="ctr">
          <a:solidFill>
            <a:srgbClr val="8064A2">
              <a:shade val="50000"/>
            </a:srgbClr>
          </a:solidFill>
          <a:prstDash val="solid"/>
        </a:ln>
        <a:effectLst/>
      </dgm:spPr>
      <dgm:t>
        <a:bodyPr/>
        <a:lstStyle/>
        <a:p>
          <a:r>
            <a:rPr lang="en-US" sz="800">
              <a:solidFill>
                <a:sysClr val="window" lastClr="FFFFFF"/>
              </a:solidFill>
              <a:latin typeface="Times New Roman" pitchFamily="18" charset="0"/>
              <a:ea typeface="+mn-ea"/>
              <a:cs typeface="Times New Roman" pitchFamily="18" charset="0"/>
            </a:rPr>
            <a:t>Green Finance at Reduce rate of Interest</a:t>
          </a:r>
        </a:p>
      </dgm:t>
    </dgm:pt>
    <dgm:pt modelId="{378925D5-D5AC-4911-A4B5-22DB3CE72054}" type="parTrans" cxnId="{2C22261F-4284-4744-B04E-355C6B1CCFE9}">
      <dgm:prSet/>
      <dgm:spPr>
        <a:xfrm rot="4616685">
          <a:off x="2780266" y="2121863"/>
          <a:ext cx="1329105" cy="1986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746D664-E079-45A1-9AA8-F71130129C17}" type="sibTrans" cxnId="{2C22261F-4284-4744-B04E-355C6B1CCFE9}">
      <dgm:prSet/>
      <dgm:spPr/>
      <dgm:t>
        <a:bodyPr/>
        <a:lstStyle/>
        <a:p>
          <a:endParaRPr lang="en-US"/>
        </a:p>
      </dgm:t>
    </dgm:pt>
    <dgm:pt modelId="{76C0A117-FA49-4CB3-8FF4-AE44629063CC}" type="pres">
      <dgm:prSet presAssocID="{BA74C546-6572-4007-98D7-DD80B270BE59}" presName="diagram" presStyleCnt="0">
        <dgm:presLayoutVars>
          <dgm:chPref val="1"/>
          <dgm:dir/>
          <dgm:animOne val="branch"/>
          <dgm:animLvl val="lvl"/>
          <dgm:resizeHandles val="exact"/>
        </dgm:presLayoutVars>
      </dgm:prSet>
      <dgm:spPr/>
      <dgm:t>
        <a:bodyPr/>
        <a:lstStyle/>
        <a:p>
          <a:endParaRPr lang="en-US"/>
        </a:p>
      </dgm:t>
    </dgm:pt>
    <dgm:pt modelId="{FA0F99AB-58E1-4A77-AB80-0DFF55977DD6}" type="pres">
      <dgm:prSet presAssocID="{49A8F281-6931-4F0C-9BFC-853CBB8E97E8}" presName="root1" presStyleCnt="0"/>
      <dgm:spPr/>
      <dgm:t>
        <a:bodyPr/>
        <a:lstStyle/>
        <a:p>
          <a:endParaRPr lang="en-US"/>
        </a:p>
      </dgm:t>
    </dgm:pt>
    <dgm:pt modelId="{734AD33D-66B0-4202-AD94-91C7F2791ABE}" type="pres">
      <dgm:prSet presAssocID="{49A8F281-6931-4F0C-9BFC-853CBB8E97E8}" presName="LevelOneTextNode" presStyleLbl="node0" presStyleIdx="0" presStyleCnt="1" custLinFactNeighborX="-11421">
        <dgm:presLayoutVars>
          <dgm:chPref val="3"/>
        </dgm:presLayoutVars>
      </dgm:prSet>
      <dgm:spPr>
        <a:prstGeom prst="roundRect">
          <a:avLst>
            <a:gd name="adj" fmla="val 10000"/>
          </a:avLst>
        </a:prstGeom>
      </dgm:spPr>
      <dgm:t>
        <a:bodyPr/>
        <a:lstStyle/>
        <a:p>
          <a:endParaRPr lang="en-US"/>
        </a:p>
      </dgm:t>
    </dgm:pt>
    <dgm:pt modelId="{037BB567-D7DB-45A0-9A4A-BEF55B238802}" type="pres">
      <dgm:prSet presAssocID="{49A8F281-6931-4F0C-9BFC-853CBB8E97E8}" presName="level2hierChild" presStyleCnt="0"/>
      <dgm:spPr/>
      <dgm:t>
        <a:bodyPr/>
        <a:lstStyle/>
        <a:p>
          <a:endParaRPr lang="en-US"/>
        </a:p>
      </dgm:t>
    </dgm:pt>
    <dgm:pt modelId="{41ABA384-9CCE-4FB5-AC36-FC87AB714F4D}" type="pres">
      <dgm:prSet presAssocID="{D7B0A9CB-AE80-43D5-B2C0-18D123049255}" presName="conn2-1" presStyleLbl="parChTrans1D2" presStyleIdx="0" presStyleCnt="2"/>
      <dgm:spPr>
        <a:custGeom>
          <a:avLst/>
          <a:gdLst/>
          <a:ahLst/>
          <a:cxnLst/>
          <a:rect l="0" t="0" r="0" b="0"/>
          <a:pathLst>
            <a:path>
              <a:moveTo>
                <a:pt x="0" y="9932"/>
              </a:moveTo>
              <a:lnTo>
                <a:pt x="945526" y="9932"/>
              </a:lnTo>
            </a:path>
          </a:pathLst>
        </a:custGeom>
      </dgm:spPr>
      <dgm:t>
        <a:bodyPr/>
        <a:lstStyle/>
        <a:p>
          <a:endParaRPr lang="en-US"/>
        </a:p>
      </dgm:t>
    </dgm:pt>
    <dgm:pt modelId="{DC9A668E-7161-447A-8447-C6ECC68DEF73}" type="pres">
      <dgm:prSet presAssocID="{D7B0A9CB-AE80-43D5-B2C0-18D123049255}" presName="connTx" presStyleLbl="parChTrans1D2" presStyleIdx="0" presStyleCnt="2"/>
      <dgm:spPr/>
      <dgm:t>
        <a:bodyPr/>
        <a:lstStyle/>
        <a:p>
          <a:endParaRPr lang="en-US"/>
        </a:p>
      </dgm:t>
    </dgm:pt>
    <dgm:pt modelId="{0F57E4D3-7032-4FE8-A021-A0A44F257C0E}" type="pres">
      <dgm:prSet presAssocID="{1F7DDA76-B889-4B0E-8E39-B0C056F7E010}" presName="root2" presStyleCnt="0"/>
      <dgm:spPr/>
      <dgm:t>
        <a:bodyPr/>
        <a:lstStyle/>
        <a:p>
          <a:endParaRPr lang="en-US"/>
        </a:p>
      </dgm:t>
    </dgm:pt>
    <dgm:pt modelId="{875EACB6-A206-4BAA-876E-CA251BE67D5A}" type="pres">
      <dgm:prSet presAssocID="{1F7DDA76-B889-4B0E-8E39-B0C056F7E010}" presName="LevelTwoTextNode" presStyleLbl="node2" presStyleIdx="0" presStyleCnt="2">
        <dgm:presLayoutVars>
          <dgm:chPref val="3"/>
        </dgm:presLayoutVars>
      </dgm:prSet>
      <dgm:spPr>
        <a:prstGeom prst="roundRect">
          <a:avLst>
            <a:gd name="adj" fmla="val 10000"/>
          </a:avLst>
        </a:prstGeom>
      </dgm:spPr>
      <dgm:t>
        <a:bodyPr/>
        <a:lstStyle/>
        <a:p>
          <a:endParaRPr lang="en-US"/>
        </a:p>
      </dgm:t>
    </dgm:pt>
    <dgm:pt modelId="{A25D2E7A-2779-4BF6-8EC0-8816CCD3901E}" type="pres">
      <dgm:prSet presAssocID="{1F7DDA76-B889-4B0E-8E39-B0C056F7E010}" presName="level3hierChild" presStyleCnt="0"/>
      <dgm:spPr/>
      <dgm:t>
        <a:bodyPr/>
        <a:lstStyle/>
        <a:p>
          <a:endParaRPr lang="en-US"/>
        </a:p>
      </dgm:t>
    </dgm:pt>
    <dgm:pt modelId="{F8730C99-67C6-4268-B4D5-12391EAA903E}" type="pres">
      <dgm:prSet presAssocID="{EE025653-FD81-4C07-B65E-5405335F2467}" presName="conn2-1" presStyleLbl="parChTrans1D3" presStyleIdx="0" presStyleCnt="8"/>
      <dgm:spPr>
        <a:custGeom>
          <a:avLst/>
          <a:gdLst/>
          <a:ahLst/>
          <a:cxnLst/>
          <a:rect l="0" t="0" r="0" b="0"/>
          <a:pathLst>
            <a:path>
              <a:moveTo>
                <a:pt x="0" y="9932"/>
              </a:moveTo>
              <a:lnTo>
                <a:pt x="1329105" y="9932"/>
              </a:lnTo>
            </a:path>
          </a:pathLst>
        </a:custGeom>
      </dgm:spPr>
      <dgm:t>
        <a:bodyPr/>
        <a:lstStyle/>
        <a:p>
          <a:endParaRPr lang="en-US"/>
        </a:p>
      </dgm:t>
    </dgm:pt>
    <dgm:pt modelId="{CAA01A70-B320-43D9-9EC0-7D8DC955E1CC}" type="pres">
      <dgm:prSet presAssocID="{EE025653-FD81-4C07-B65E-5405335F2467}" presName="connTx" presStyleLbl="parChTrans1D3" presStyleIdx="0" presStyleCnt="8"/>
      <dgm:spPr/>
      <dgm:t>
        <a:bodyPr/>
        <a:lstStyle/>
        <a:p>
          <a:endParaRPr lang="en-US"/>
        </a:p>
      </dgm:t>
    </dgm:pt>
    <dgm:pt modelId="{F632956D-5529-4FFE-9C22-494773DE0F93}" type="pres">
      <dgm:prSet presAssocID="{CDC778AB-6291-46D1-B80F-8A1255D7D00F}" presName="root2" presStyleCnt="0"/>
      <dgm:spPr/>
      <dgm:t>
        <a:bodyPr/>
        <a:lstStyle/>
        <a:p>
          <a:endParaRPr lang="en-US"/>
        </a:p>
      </dgm:t>
    </dgm:pt>
    <dgm:pt modelId="{8690B5A7-0A8E-497D-8E5D-0E3F4D7FE6F2}" type="pres">
      <dgm:prSet presAssocID="{CDC778AB-6291-46D1-B80F-8A1255D7D00F}" presName="LevelTwoTextNode" presStyleLbl="node3" presStyleIdx="0" presStyleCnt="8">
        <dgm:presLayoutVars>
          <dgm:chPref val="3"/>
        </dgm:presLayoutVars>
      </dgm:prSet>
      <dgm:spPr>
        <a:prstGeom prst="roundRect">
          <a:avLst>
            <a:gd name="adj" fmla="val 10000"/>
          </a:avLst>
        </a:prstGeom>
      </dgm:spPr>
      <dgm:t>
        <a:bodyPr/>
        <a:lstStyle/>
        <a:p>
          <a:endParaRPr lang="en-US"/>
        </a:p>
      </dgm:t>
    </dgm:pt>
    <dgm:pt modelId="{E82B9E9D-852E-421A-9E88-E3086398CB72}" type="pres">
      <dgm:prSet presAssocID="{CDC778AB-6291-46D1-B80F-8A1255D7D00F}" presName="level3hierChild" presStyleCnt="0"/>
      <dgm:spPr/>
      <dgm:t>
        <a:bodyPr/>
        <a:lstStyle/>
        <a:p>
          <a:endParaRPr lang="en-US"/>
        </a:p>
      </dgm:t>
    </dgm:pt>
    <dgm:pt modelId="{0F0B5460-3925-4D82-81FC-AAD35D47FFAE}" type="pres">
      <dgm:prSet presAssocID="{C59A4AAE-2156-4539-B0EB-D29F63F78D40}" presName="conn2-1" presStyleLbl="parChTrans1D3" presStyleIdx="1" presStyleCnt="8"/>
      <dgm:spPr>
        <a:custGeom>
          <a:avLst/>
          <a:gdLst/>
          <a:ahLst/>
          <a:cxnLst/>
          <a:rect l="0" t="0" r="0" b="0"/>
          <a:pathLst>
            <a:path>
              <a:moveTo>
                <a:pt x="0" y="9932"/>
              </a:moveTo>
              <a:lnTo>
                <a:pt x="913891" y="9932"/>
              </a:lnTo>
            </a:path>
          </a:pathLst>
        </a:custGeom>
      </dgm:spPr>
      <dgm:t>
        <a:bodyPr/>
        <a:lstStyle/>
        <a:p>
          <a:endParaRPr lang="en-US"/>
        </a:p>
      </dgm:t>
    </dgm:pt>
    <dgm:pt modelId="{CE28A956-DEDF-4F4A-9341-428C5DF2EC28}" type="pres">
      <dgm:prSet presAssocID="{C59A4AAE-2156-4539-B0EB-D29F63F78D40}" presName="connTx" presStyleLbl="parChTrans1D3" presStyleIdx="1" presStyleCnt="8"/>
      <dgm:spPr/>
      <dgm:t>
        <a:bodyPr/>
        <a:lstStyle/>
        <a:p>
          <a:endParaRPr lang="en-US"/>
        </a:p>
      </dgm:t>
    </dgm:pt>
    <dgm:pt modelId="{13F57BAA-6CBF-424B-BFD0-625887AD526E}" type="pres">
      <dgm:prSet presAssocID="{D64ED72F-99B0-4BF2-ACD6-B76BCF300A2F}" presName="root2" presStyleCnt="0"/>
      <dgm:spPr/>
      <dgm:t>
        <a:bodyPr/>
        <a:lstStyle/>
        <a:p>
          <a:endParaRPr lang="en-US"/>
        </a:p>
      </dgm:t>
    </dgm:pt>
    <dgm:pt modelId="{6B102485-ACD1-48A4-B96C-C5B8038FA330}" type="pres">
      <dgm:prSet presAssocID="{D64ED72F-99B0-4BF2-ACD6-B76BCF300A2F}" presName="LevelTwoTextNode" presStyleLbl="node3" presStyleIdx="1" presStyleCnt="8">
        <dgm:presLayoutVars>
          <dgm:chPref val="3"/>
        </dgm:presLayoutVars>
      </dgm:prSet>
      <dgm:spPr>
        <a:prstGeom prst="roundRect">
          <a:avLst>
            <a:gd name="adj" fmla="val 10000"/>
          </a:avLst>
        </a:prstGeom>
      </dgm:spPr>
      <dgm:t>
        <a:bodyPr/>
        <a:lstStyle/>
        <a:p>
          <a:endParaRPr lang="en-US"/>
        </a:p>
      </dgm:t>
    </dgm:pt>
    <dgm:pt modelId="{10F540C4-4A73-4246-81EE-AA7F0CAB7A5B}" type="pres">
      <dgm:prSet presAssocID="{D64ED72F-99B0-4BF2-ACD6-B76BCF300A2F}" presName="level3hierChild" presStyleCnt="0"/>
      <dgm:spPr/>
      <dgm:t>
        <a:bodyPr/>
        <a:lstStyle/>
        <a:p>
          <a:endParaRPr lang="en-US"/>
        </a:p>
      </dgm:t>
    </dgm:pt>
    <dgm:pt modelId="{F26C5195-2D18-4C71-B2BA-A9610E907ADA}" type="pres">
      <dgm:prSet presAssocID="{5F2EFF9E-7DD8-4465-94F6-D56474609AD2}" presName="conn2-1" presStyleLbl="parChTrans1D3" presStyleIdx="2" presStyleCnt="8"/>
      <dgm:spPr>
        <a:custGeom>
          <a:avLst/>
          <a:gdLst/>
          <a:ahLst/>
          <a:cxnLst/>
          <a:rect l="0" t="0" r="0" b="0"/>
          <a:pathLst>
            <a:path>
              <a:moveTo>
                <a:pt x="0" y="9932"/>
              </a:moveTo>
              <a:lnTo>
                <a:pt x="525741" y="9932"/>
              </a:lnTo>
            </a:path>
          </a:pathLst>
        </a:custGeom>
      </dgm:spPr>
      <dgm:t>
        <a:bodyPr/>
        <a:lstStyle/>
        <a:p>
          <a:endParaRPr lang="en-US"/>
        </a:p>
      </dgm:t>
    </dgm:pt>
    <dgm:pt modelId="{13D0F6DE-C74A-4210-9D4F-D67810F73EE6}" type="pres">
      <dgm:prSet presAssocID="{5F2EFF9E-7DD8-4465-94F6-D56474609AD2}" presName="connTx" presStyleLbl="parChTrans1D3" presStyleIdx="2" presStyleCnt="8"/>
      <dgm:spPr/>
      <dgm:t>
        <a:bodyPr/>
        <a:lstStyle/>
        <a:p>
          <a:endParaRPr lang="en-US"/>
        </a:p>
      </dgm:t>
    </dgm:pt>
    <dgm:pt modelId="{585567E8-AA30-4FB0-A815-8AA0EDB20C73}" type="pres">
      <dgm:prSet presAssocID="{F838A106-BD4C-473A-B582-4F30C9314148}" presName="root2" presStyleCnt="0"/>
      <dgm:spPr/>
      <dgm:t>
        <a:bodyPr/>
        <a:lstStyle/>
        <a:p>
          <a:endParaRPr lang="en-US"/>
        </a:p>
      </dgm:t>
    </dgm:pt>
    <dgm:pt modelId="{AAB2E39A-9380-41F0-8E06-D1E0F3B68D18}" type="pres">
      <dgm:prSet presAssocID="{F838A106-BD4C-473A-B582-4F30C9314148}" presName="LevelTwoTextNode" presStyleLbl="node3" presStyleIdx="2" presStyleCnt="8">
        <dgm:presLayoutVars>
          <dgm:chPref val="3"/>
        </dgm:presLayoutVars>
      </dgm:prSet>
      <dgm:spPr>
        <a:prstGeom prst="roundRect">
          <a:avLst>
            <a:gd name="adj" fmla="val 10000"/>
          </a:avLst>
        </a:prstGeom>
      </dgm:spPr>
      <dgm:t>
        <a:bodyPr/>
        <a:lstStyle/>
        <a:p>
          <a:endParaRPr lang="en-US"/>
        </a:p>
      </dgm:t>
    </dgm:pt>
    <dgm:pt modelId="{680AFDC2-4411-4DFD-B737-63BBCA7DAB04}" type="pres">
      <dgm:prSet presAssocID="{F838A106-BD4C-473A-B582-4F30C9314148}" presName="level3hierChild" presStyleCnt="0"/>
      <dgm:spPr/>
      <dgm:t>
        <a:bodyPr/>
        <a:lstStyle/>
        <a:p>
          <a:endParaRPr lang="en-US"/>
        </a:p>
      </dgm:t>
    </dgm:pt>
    <dgm:pt modelId="{F7B049B2-BDD6-4B05-9E03-BDF03E6203F0}" type="pres">
      <dgm:prSet presAssocID="{AD50D399-9001-4EC4-A31B-C691170F1717}" presName="conn2-1" presStyleLbl="parChTrans1D3" presStyleIdx="3" presStyleCnt="8"/>
      <dgm:spPr>
        <a:custGeom>
          <a:avLst/>
          <a:gdLst/>
          <a:ahLst/>
          <a:cxnLst/>
          <a:rect l="0" t="0" r="0" b="0"/>
          <a:pathLst>
            <a:path>
              <a:moveTo>
                <a:pt x="0" y="9932"/>
              </a:moveTo>
              <a:lnTo>
                <a:pt x="300232" y="9932"/>
              </a:lnTo>
            </a:path>
          </a:pathLst>
        </a:custGeom>
      </dgm:spPr>
      <dgm:t>
        <a:bodyPr/>
        <a:lstStyle/>
        <a:p>
          <a:endParaRPr lang="en-US"/>
        </a:p>
      </dgm:t>
    </dgm:pt>
    <dgm:pt modelId="{239C87F2-64F8-45CD-BB88-3CD6450B0F41}" type="pres">
      <dgm:prSet presAssocID="{AD50D399-9001-4EC4-A31B-C691170F1717}" presName="connTx" presStyleLbl="parChTrans1D3" presStyleIdx="3" presStyleCnt="8"/>
      <dgm:spPr/>
      <dgm:t>
        <a:bodyPr/>
        <a:lstStyle/>
        <a:p>
          <a:endParaRPr lang="en-US"/>
        </a:p>
      </dgm:t>
    </dgm:pt>
    <dgm:pt modelId="{121A40DB-E3D0-496A-85EE-EBD1FDBD5202}" type="pres">
      <dgm:prSet presAssocID="{4B7946E0-6F85-4131-BCEE-0AE2B5A95957}" presName="root2" presStyleCnt="0"/>
      <dgm:spPr/>
      <dgm:t>
        <a:bodyPr/>
        <a:lstStyle/>
        <a:p>
          <a:endParaRPr lang="en-US"/>
        </a:p>
      </dgm:t>
    </dgm:pt>
    <dgm:pt modelId="{712E9835-9651-4688-AF09-4C340A578B34}" type="pres">
      <dgm:prSet presAssocID="{4B7946E0-6F85-4131-BCEE-0AE2B5A95957}" presName="LevelTwoTextNode" presStyleLbl="node3" presStyleIdx="3" presStyleCnt="8">
        <dgm:presLayoutVars>
          <dgm:chPref val="3"/>
        </dgm:presLayoutVars>
      </dgm:prSet>
      <dgm:spPr>
        <a:prstGeom prst="roundRect">
          <a:avLst>
            <a:gd name="adj" fmla="val 10000"/>
          </a:avLst>
        </a:prstGeom>
      </dgm:spPr>
      <dgm:t>
        <a:bodyPr/>
        <a:lstStyle/>
        <a:p>
          <a:endParaRPr lang="en-US"/>
        </a:p>
      </dgm:t>
    </dgm:pt>
    <dgm:pt modelId="{D5AEE5F3-2F5C-4527-9683-09B564B5EBCA}" type="pres">
      <dgm:prSet presAssocID="{4B7946E0-6F85-4131-BCEE-0AE2B5A95957}" presName="level3hierChild" presStyleCnt="0"/>
      <dgm:spPr/>
      <dgm:t>
        <a:bodyPr/>
        <a:lstStyle/>
        <a:p>
          <a:endParaRPr lang="en-US"/>
        </a:p>
      </dgm:t>
    </dgm:pt>
    <dgm:pt modelId="{61E4DB06-D971-4B95-9723-C90D9F87CAE4}" type="pres">
      <dgm:prSet presAssocID="{5C90110E-29C5-49C7-B956-1092E825D751}" presName="conn2-1" presStyleLbl="parChTrans1D3" presStyleIdx="4" presStyleCnt="8"/>
      <dgm:spPr>
        <a:custGeom>
          <a:avLst/>
          <a:gdLst/>
          <a:ahLst/>
          <a:cxnLst/>
          <a:rect l="0" t="0" r="0" b="0"/>
          <a:pathLst>
            <a:path>
              <a:moveTo>
                <a:pt x="0" y="9932"/>
              </a:moveTo>
              <a:lnTo>
                <a:pt x="525741" y="9932"/>
              </a:lnTo>
            </a:path>
          </a:pathLst>
        </a:custGeom>
      </dgm:spPr>
      <dgm:t>
        <a:bodyPr/>
        <a:lstStyle/>
        <a:p>
          <a:endParaRPr lang="en-US"/>
        </a:p>
      </dgm:t>
    </dgm:pt>
    <dgm:pt modelId="{02F160F6-B1F0-4E39-AA97-C8B4528F616F}" type="pres">
      <dgm:prSet presAssocID="{5C90110E-29C5-49C7-B956-1092E825D751}" presName="connTx" presStyleLbl="parChTrans1D3" presStyleIdx="4" presStyleCnt="8"/>
      <dgm:spPr/>
      <dgm:t>
        <a:bodyPr/>
        <a:lstStyle/>
        <a:p>
          <a:endParaRPr lang="en-US"/>
        </a:p>
      </dgm:t>
    </dgm:pt>
    <dgm:pt modelId="{AED0B2B3-80E7-4DB2-A2B3-8C4A7F3638CD}" type="pres">
      <dgm:prSet presAssocID="{1474DF5B-F394-4376-AD6C-BED090CFF1C6}" presName="root2" presStyleCnt="0"/>
      <dgm:spPr/>
      <dgm:t>
        <a:bodyPr/>
        <a:lstStyle/>
        <a:p>
          <a:endParaRPr lang="en-US"/>
        </a:p>
      </dgm:t>
    </dgm:pt>
    <dgm:pt modelId="{C13EAC54-D968-4DC1-9B83-57F9538DA570}" type="pres">
      <dgm:prSet presAssocID="{1474DF5B-F394-4376-AD6C-BED090CFF1C6}" presName="LevelTwoTextNode" presStyleLbl="node3" presStyleIdx="4" presStyleCnt="8">
        <dgm:presLayoutVars>
          <dgm:chPref val="3"/>
        </dgm:presLayoutVars>
      </dgm:prSet>
      <dgm:spPr>
        <a:prstGeom prst="roundRect">
          <a:avLst>
            <a:gd name="adj" fmla="val 10000"/>
          </a:avLst>
        </a:prstGeom>
      </dgm:spPr>
      <dgm:t>
        <a:bodyPr/>
        <a:lstStyle/>
        <a:p>
          <a:endParaRPr lang="en-US"/>
        </a:p>
      </dgm:t>
    </dgm:pt>
    <dgm:pt modelId="{57A58116-34C4-40C9-B230-65A919FC18FE}" type="pres">
      <dgm:prSet presAssocID="{1474DF5B-F394-4376-AD6C-BED090CFF1C6}" presName="level3hierChild" presStyleCnt="0"/>
      <dgm:spPr/>
      <dgm:t>
        <a:bodyPr/>
        <a:lstStyle/>
        <a:p>
          <a:endParaRPr lang="en-US"/>
        </a:p>
      </dgm:t>
    </dgm:pt>
    <dgm:pt modelId="{230F65A2-D57E-4612-9B65-8F65CA6DBE82}" type="pres">
      <dgm:prSet presAssocID="{E407F5E1-7899-4FB9-A944-88DDB56907C8}" presName="conn2-1" presStyleLbl="parChTrans1D3" presStyleIdx="5" presStyleCnt="8"/>
      <dgm:spPr>
        <a:custGeom>
          <a:avLst/>
          <a:gdLst/>
          <a:ahLst/>
          <a:cxnLst/>
          <a:rect l="0" t="0" r="0" b="0"/>
          <a:pathLst>
            <a:path>
              <a:moveTo>
                <a:pt x="0" y="9932"/>
              </a:moveTo>
              <a:lnTo>
                <a:pt x="913891" y="9932"/>
              </a:lnTo>
            </a:path>
          </a:pathLst>
        </a:custGeom>
      </dgm:spPr>
      <dgm:t>
        <a:bodyPr/>
        <a:lstStyle/>
        <a:p>
          <a:endParaRPr lang="en-US"/>
        </a:p>
      </dgm:t>
    </dgm:pt>
    <dgm:pt modelId="{AE099CF2-F911-48C6-9ABD-F6E997D51529}" type="pres">
      <dgm:prSet presAssocID="{E407F5E1-7899-4FB9-A944-88DDB56907C8}" presName="connTx" presStyleLbl="parChTrans1D3" presStyleIdx="5" presStyleCnt="8"/>
      <dgm:spPr/>
      <dgm:t>
        <a:bodyPr/>
        <a:lstStyle/>
        <a:p>
          <a:endParaRPr lang="en-US"/>
        </a:p>
      </dgm:t>
    </dgm:pt>
    <dgm:pt modelId="{E2230190-82FE-4125-A342-5D01E39E5967}" type="pres">
      <dgm:prSet presAssocID="{498DF5E8-3759-4034-81AE-BB754DC99FB6}" presName="root2" presStyleCnt="0"/>
      <dgm:spPr/>
      <dgm:t>
        <a:bodyPr/>
        <a:lstStyle/>
        <a:p>
          <a:endParaRPr lang="en-US"/>
        </a:p>
      </dgm:t>
    </dgm:pt>
    <dgm:pt modelId="{2EE5A8F5-4661-45F7-BAA0-5C9996400B8D}" type="pres">
      <dgm:prSet presAssocID="{498DF5E8-3759-4034-81AE-BB754DC99FB6}" presName="LevelTwoTextNode" presStyleLbl="node3" presStyleIdx="5" presStyleCnt="8">
        <dgm:presLayoutVars>
          <dgm:chPref val="3"/>
        </dgm:presLayoutVars>
      </dgm:prSet>
      <dgm:spPr>
        <a:prstGeom prst="roundRect">
          <a:avLst>
            <a:gd name="adj" fmla="val 10000"/>
          </a:avLst>
        </a:prstGeom>
      </dgm:spPr>
      <dgm:t>
        <a:bodyPr/>
        <a:lstStyle/>
        <a:p>
          <a:endParaRPr lang="en-US"/>
        </a:p>
      </dgm:t>
    </dgm:pt>
    <dgm:pt modelId="{E999A1AD-1D3E-4A97-9F3F-97F307525E46}" type="pres">
      <dgm:prSet presAssocID="{498DF5E8-3759-4034-81AE-BB754DC99FB6}" presName="level3hierChild" presStyleCnt="0"/>
      <dgm:spPr/>
      <dgm:t>
        <a:bodyPr/>
        <a:lstStyle/>
        <a:p>
          <a:endParaRPr lang="en-US"/>
        </a:p>
      </dgm:t>
    </dgm:pt>
    <dgm:pt modelId="{F21F804E-39A1-46AF-B98A-245FF50C27B4}" type="pres">
      <dgm:prSet presAssocID="{378925D5-D5AC-4911-A4B5-22DB3CE72054}" presName="conn2-1" presStyleLbl="parChTrans1D3" presStyleIdx="6" presStyleCnt="8"/>
      <dgm:spPr>
        <a:custGeom>
          <a:avLst/>
          <a:gdLst/>
          <a:ahLst/>
          <a:cxnLst/>
          <a:rect l="0" t="0" r="0" b="0"/>
          <a:pathLst>
            <a:path>
              <a:moveTo>
                <a:pt x="0" y="9932"/>
              </a:moveTo>
              <a:lnTo>
                <a:pt x="1329105" y="9932"/>
              </a:lnTo>
            </a:path>
          </a:pathLst>
        </a:custGeom>
      </dgm:spPr>
      <dgm:t>
        <a:bodyPr/>
        <a:lstStyle/>
        <a:p>
          <a:endParaRPr lang="en-US"/>
        </a:p>
      </dgm:t>
    </dgm:pt>
    <dgm:pt modelId="{0CC1031A-2A74-427A-9F11-E5BDA95C1DEC}" type="pres">
      <dgm:prSet presAssocID="{378925D5-D5AC-4911-A4B5-22DB3CE72054}" presName="connTx" presStyleLbl="parChTrans1D3" presStyleIdx="6" presStyleCnt="8"/>
      <dgm:spPr/>
      <dgm:t>
        <a:bodyPr/>
        <a:lstStyle/>
        <a:p>
          <a:endParaRPr lang="en-US"/>
        </a:p>
      </dgm:t>
    </dgm:pt>
    <dgm:pt modelId="{AD119D40-46AF-416B-B004-8B011ADD7E8D}" type="pres">
      <dgm:prSet presAssocID="{E93D4128-24BF-4C53-BB2F-F637BADD6071}" presName="root2" presStyleCnt="0"/>
      <dgm:spPr/>
      <dgm:t>
        <a:bodyPr/>
        <a:lstStyle/>
        <a:p>
          <a:endParaRPr lang="en-US"/>
        </a:p>
      </dgm:t>
    </dgm:pt>
    <dgm:pt modelId="{AAC2EAD8-FE60-4CF8-B5CA-B214FD24E159}" type="pres">
      <dgm:prSet presAssocID="{E93D4128-24BF-4C53-BB2F-F637BADD6071}" presName="LevelTwoTextNode" presStyleLbl="node3" presStyleIdx="6" presStyleCnt="8">
        <dgm:presLayoutVars>
          <dgm:chPref val="3"/>
        </dgm:presLayoutVars>
      </dgm:prSet>
      <dgm:spPr>
        <a:prstGeom prst="roundRect">
          <a:avLst>
            <a:gd name="adj" fmla="val 10000"/>
          </a:avLst>
        </a:prstGeom>
      </dgm:spPr>
      <dgm:t>
        <a:bodyPr/>
        <a:lstStyle/>
        <a:p>
          <a:endParaRPr lang="en-US"/>
        </a:p>
      </dgm:t>
    </dgm:pt>
    <dgm:pt modelId="{A033A042-91BD-4788-B394-D9771F4A4556}" type="pres">
      <dgm:prSet presAssocID="{E93D4128-24BF-4C53-BB2F-F637BADD6071}" presName="level3hierChild" presStyleCnt="0"/>
      <dgm:spPr/>
      <dgm:t>
        <a:bodyPr/>
        <a:lstStyle/>
        <a:p>
          <a:endParaRPr lang="en-US"/>
        </a:p>
      </dgm:t>
    </dgm:pt>
    <dgm:pt modelId="{85400A0A-99FC-4145-8A4E-A685EA2FAEA2}" type="pres">
      <dgm:prSet presAssocID="{03067A3D-BFD8-48A5-9D7C-97DD21CE7DB4}" presName="conn2-1" presStyleLbl="parChTrans1D2" presStyleIdx="1" presStyleCnt="2"/>
      <dgm:spPr>
        <a:custGeom>
          <a:avLst/>
          <a:gdLst/>
          <a:ahLst/>
          <a:cxnLst/>
          <a:rect l="0" t="0" r="0" b="0"/>
          <a:pathLst>
            <a:path>
              <a:moveTo>
                <a:pt x="0" y="9932"/>
              </a:moveTo>
              <a:lnTo>
                <a:pt x="945526" y="9932"/>
              </a:lnTo>
            </a:path>
          </a:pathLst>
        </a:custGeom>
      </dgm:spPr>
      <dgm:t>
        <a:bodyPr/>
        <a:lstStyle/>
        <a:p>
          <a:endParaRPr lang="en-US"/>
        </a:p>
      </dgm:t>
    </dgm:pt>
    <dgm:pt modelId="{710BA575-C92A-453C-8D31-3C85F27F8661}" type="pres">
      <dgm:prSet presAssocID="{03067A3D-BFD8-48A5-9D7C-97DD21CE7DB4}" presName="connTx" presStyleLbl="parChTrans1D2" presStyleIdx="1" presStyleCnt="2"/>
      <dgm:spPr/>
      <dgm:t>
        <a:bodyPr/>
        <a:lstStyle/>
        <a:p>
          <a:endParaRPr lang="en-US"/>
        </a:p>
      </dgm:t>
    </dgm:pt>
    <dgm:pt modelId="{483EAD9C-B5C9-47E6-AC63-DA0A9A3EDD41}" type="pres">
      <dgm:prSet presAssocID="{D34F5060-12A0-4E67-83F0-5C27C78AF2D8}" presName="root2" presStyleCnt="0"/>
      <dgm:spPr/>
      <dgm:t>
        <a:bodyPr/>
        <a:lstStyle/>
        <a:p>
          <a:endParaRPr lang="en-US"/>
        </a:p>
      </dgm:t>
    </dgm:pt>
    <dgm:pt modelId="{11669BC3-7088-4748-892F-DC6D5BA113B2}" type="pres">
      <dgm:prSet presAssocID="{D34F5060-12A0-4E67-83F0-5C27C78AF2D8}" presName="LevelTwoTextNode" presStyleLbl="node2" presStyleIdx="1" presStyleCnt="2">
        <dgm:presLayoutVars>
          <dgm:chPref val="3"/>
        </dgm:presLayoutVars>
      </dgm:prSet>
      <dgm:spPr>
        <a:prstGeom prst="roundRect">
          <a:avLst>
            <a:gd name="adj" fmla="val 10000"/>
          </a:avLst>
        </a:prstGeom>
      </dgm:spPr>
      <dgm:t>
        <a:bodyPr/>
        <a:lstStyle/>
        <a:p>
          <a:endParaRPr lang="en-US"/>
        </a:p>
      </dgm:t>
    </dgm:pt>
    <dgm:pt modelId="{A21A6559-9613-4F8B-B191-1F05DA0B5133}" type="pres">
      <dgm:prSet presAssocID="{D34F5060-12A0-4E67-83F0-5C27C78AF2D8}" presName="level3hierChild" presStyleCnt="0"/>
      <dgm:spPr/>
      <dgm:t>
        <a:bodyPr/>
        <a:lstStyle/>
        <a:p>
          <a:endParaRPr lang="en-US"/>
        </a:p>
      </dgm:t>
    </dgm:pt>
    <dgm:pt modelId="{FCC17A86-635F-4569-A001-56280602F889}" type="pres">
      <dgm:prSet presAssocID="{AA8DCA47-CCB8-4475-A793-1368DD4ED0F3}" presName="conn2-1" presStyleLbl="parChTrans1D3" presStyleIdx="7" presStyleCnt="8"/>
      <dgm:spPr>
        <a:custGeom>
          <a:avLst/>
          <a:gdLst/>
          <a:ahLst/>
          <a:cxnLst/>
          <a:rect l="0" t="0" r="0" b="0"/>
          <a:pathLst>
            <a:path>
              <a:moveTo>
                <a:pt x="0" y="9932"/>
              </a:moveTo>
              <a:lnTo>
                <a:pt x="300232" y="9932"/>
              </a:lnTo>
            </a:path>
          </a:pathLst>
        </a:custGeom>
      </dgm:spPr>
      <dgm:t>
        <a:bodyPr/>
        <a:lstStyle/>
        <a:p>
          <a:endParaRPr lang="en-US"/>
        </a:p>
      </dgm:t>
    </dgm:pt>
    <dgm:pt modelId="{7AD03E80-E767-47C9-A59D-65F88CECA8E6}" type="pres">
      <dgm:prSet presAssocID="{AA8DCA47-CCB8-4475-A793-1368DD4ED0F3}" presName="connTx" presStyleLbl="parChTrans1D3" presStyleIdx="7" presStyleCnt="8"/>
      <dgm:spPr/>
      <dgm:t>
        <a:bodyPr/>
        <a:lstStyle/>
        <a:p>
          <a:endParaRPr lang="en-US"/>
        </a:p>
      </dgm:t>
    </dgm:pt>
    <dgm:pt modelId="{4B8989D3-7666-4198-9662-F34DB9BA8037}" type="pres">
      <dgm:prSet presAssocID="{02E7A6CF-EF0A-4D71-B62A-C47D0BA14BCA}" presName="root2" presStyleCnt="0"/>
      <dgm:spPr/>
      <dgm:t>
        <a:bodyPr/>
        <a:lstStyle/>
        <a:p>
          <a:endParaRPr lang="en-US"/>
        </a:p>
      </dgm:t>
    </dgm:pt>
    <dgm:pt modelId="{983A5402-0C8B-439F-BF78-7CD8294A5FA1}" type="pres">
      <dgm:prSet presAssocID="{02E7A6CF-EF0A-4D71-B62A-C47D0BA14BCA}" presName="LevelTwoTextNode" presStyleLbl="node3" presStyleIdx="7" presStyleCnt="8">
        <dgm:presLayoutVars>
          <dgm:chPref val="3"/>
        </dgm:presLayoutVars>
      </dgm:prSet>
      <dgm:spPr>
        <a:prstGeom prst="roundRect">
          <a:avLst>
            <a:gd name="adj" fmla="val 10000"/>
          </a:avLst>
        </a:prstGeom>
      </dgm:spPr>
      <dgm:t>
        <a:bodyPr/>
        <a:lstStyle/>
        <a:p>
          <a:endParaRPr lang="en-US"/>
        </a:p>
      </dgm:t>
    </dgm:pt>
    <dgm:pt modelId="{55ED88BE-5C83-4610-9482-EC8B3BB0AE08}" type="pres">
      <dgm:prSet presAssocID="{02E7A6CF-EF0A-4D71-B62A-C47D0BA14BCA}" presName="level3hierChild" presStyleCnt="0"/>
      <dgm:spPr/>
      <dgm:t>
        <a:bodyPr/>
        <a:lstStyle/>
        <a:p>
          <a:endParaRPr lang="en-US"/>
        </a:p>
      </dgm:t>
    </dgm:pt>
  </dgm:ptLst>
  <dgm:cxnLst>
    <dgm:cxn modelId="{4098D457-4975-4946-9DBD-1C194D51B77E}" type="presOf" srcId="{498DF5E8-3759-4034-81AE-BB754DC99FB6}" destId="{2EE5A8F5-4661-45F7-BAA0-5C9996400B8D}" srcOrd="0" destOrd="0" presId="urn:microsoft.com/office/officeart/2005/8/layout/hierarchy2"/>
    <dgm:cxn modelId="{100CC7BD-21CD-4819-93AD-B869F861B8EC}" type="presOf" srcId="{AD50D399-9001-4EC4-A31B-C691170F1717}" destId="{239C87F2-64F8-45CD-BB88-3CD6450B0F41}" srcOrd="1" destOrd="0" presId="urn:microsoft.com/office/officeart/2005/8/layout/hierarchy2"/>
    <dgm:cxn modelId="{0E699D03-C175-446E-BCE5-CC0D1293BB89}" type="presOf" srcId="{C59A4AAE-2156-4539-B0EB-D29F63F78D40}" destId="{0F0B5460-3925-4D82-81FC-AAD35D47FFAE}" srcOrd="0" destOrd="0" presId="urn:microsoft.com/office/officeart/2005/8/layout/hierarchy2"/>
    <dgm:cxn modelId="{D025A682-7D00-4E1F-AC7B-21ADCCF9A91C}" type="presOf" srcId="{378925D5-D5AC-4911-A4B5-22DB3CE72054}" destId="{F21F804E-39A1-46AF-B98A-245FF50C27B4}" srcOrd="0" destOrd="0" presId="urn:microsoft.com/office/officeart/2005/8/layout/hierarchy2"/>
    <dgm:cxn modelId="{53D751DE-4079-4EF2-B929-53D3C263F905}" type="presOf" srcId="{03067A3D-BFD8-48A5-9D7C-97DD21CE7DB4}" destId="{710BA575-C92A-453C-8D31-3C85F27F8661}" srcOrd="1" destOrd="0" presId="urn:microsoft.com/office/officeart/2005/8/layout/hierarchy2"/>
    <dgm:cxn modelId="{FC96E1B5-16FB-4027-BB2D-EA4D2553738A}" srcId="{49A8F281-6931-4F0C-9BFC-853CBB8E97E8}" destId="{1F7DDA76-B889-4B0E-8E39-B0C056F7E010}" srcOrd="0" destOrd="0" parTransId="{D7B0A9CB-AE80-43D5-B2C0-18D123049255}" sibTransId="{869AFD52-C931-4F99-8669-5C48445F3804}"/>
    <dgm:cxn modelId="{6F8667CD-3D1B-4746-AEAF-675239824F98}" srcId="{D34F5060-12A0-4E67-83F0-5C27C78AF2D8}" destId="{02E7A6CF-EF0A-4D71-B62A-C47D0BA14BCA}" srcOrd="0" destOrd="0" parTransId="{AA8DCA47-CCB8-4475-A793-1368DD4ED0F3}" sibTransId="{FDC14311-AB0E-4ABB-9328-BB484A98FB08}"/>
    <dgm:cxn modelId="{C44029B4-704E-4FCC-B01F-F63209EA3DF0}" type="presOf" srcId="{F838A106-BD4C-473A-B582-4F30C9314148}" destId="{AAB2E39A-9380-41F0-8E06-D1E0F3B68D18}" srcOrd="0" destOrd="0" presId="urn:microsoft.com/office/officeart/2005/8/layout/hierarchy2"/>
    <dgm:cxn modelId="{4B1E7768-3AF7-412A-BAA0-799B435A1006}" type="presOf" srcId="{4B7946E0-6F85-4131-BCEE-0AE2B5A95957}" destId="{712E9835-9651-4688-AF09-4C340A578B34}" srcOrd="0" destOrd="0" presId="urn:microsoft.com/office/officeart/2005/8/layout/hierarchy2"/>
    <dgm:cxn modelId="{EAA86BA4-FB24-4261-8864-E6C31A4758C5}" type="presOf" srcId="{CDC778AB-6291-46D1-B80F-8A1255D7D00F}" destId="{8690B5A7-0A8E-497D-8E5D-0E3F4D7FE6F2}" srcOrd="0" destOrd="0" presId="urn:microsoft.com/office/officeart/2005/8/layout/hierarchy2"/>
    <dgm:cxn modelId="{969580F1-8503-403D-BA2B-B72E312B94D7}" type="presOf" srcId="{5F2EFF9E-7DD8-4465-94F6-D56474609AD2}" destId="{F26C5195-2D18-4C71-B2BA-A9610E907ADA}" srcOrd="0" destOrd="0" presId="urn:microsoft.com/office/officeart/2005/8/layout/hierarchy2"/>
    <dgm:cxn modelId="{5048B6DA-B45C-4A5C-8109-180B8B9C94F2}" type="presOf" srcId="{E407F5E1-7899-4FB9-A944-88DDB56907C8}" destId="{230F65A2-D57E-4612-9B65-8F65CA6DBE82}" srcOrd="0" destOrd="0" presId="urn:microsoft.com/office/officeart/2005/8/layout/hierarchy2"/>
    <dgm:cxn modelId="{D68D9DF3-7D4B-4706-B955-46A5B0C4A8F2}" type="presOf" srcId="{02E7A6CF-EF0A-4D71-B62A-C47D0BA14BCA}" destId="{983A5402-0C8B-439F-BF78-7CD8294A5FA1}" srcOrd="0" destOrd="0" presId="urn:microsoft.com/office/officeart/2005/8/layout/hierarchy2"/>
    <dgm:cxn modelId="{D2341A43-11AD-4A34-A5F0-6DD137E75BE7}" srcId="{1F7DDA76-B889-4B0E-8E39-B0C056F7E010}" destId="{CDC778AB-6291-46D1-B80F-8A1255D7D00F}" srcOrd="0" destOrd="0" parTransId="{EE025653-FD81-4C07-B65E-5405335F2467}" sibTransId="{F299D34F-7909-41B2-81CA-61D9FC2AC912}"/>
    <dgm:cxn modelId="{2C22261F-4284-4744-B04E-355C6B1CCFE9}" srcId="{1F7DDA76-B889-4B0E-8E39-B0C056F7E010}" destId="{E93D4128-24BF-4C53-BB2F-F637BADD6071}" srcOrd="6" destOrd="0" parTransId="{378925D5-D5AC-4911-A4B5-22DB3CE72054}" sibTransId="{7746D664-E079-45A1-9AA8-F71130129C17}"/>
    <dgm:cxn modelId="{ADE2B743-8F56-4427-8CF4-530F197BB39A}" type="presOf" srcId="{BA74C546-6572-4007-98D7-DD80B270BE59}" destId="{76C0A117-FA49-4CB3-8FF4-AE44629063CC}" srcOrd="0" destOrd="0" presId="urn:microsoft.com/office/officeart/2005/8/layout/hierarchy2"/>
    <dgm:cxn modelId="{71631BA2-A41A-48C9-90F8-9A8A29D3944E}" type="presOf" srcId="{D64ED72F-99B0-4BF2-ACD6-B76BCF300A2F}" destId="{6B102485-ACD1-48A4-B96C-C5B8038FA330}" srcOrd="0" destOrd="0" presId="urn:microsoft.com/office/officeart/2005/8/layout/hierarchy2"/>
    <dgm:cxn modelId="{C8374673-04BE-49E5-AF59-B0947415E76B}" type="presOf" srcId="{1474DF5B-F394-4376-AD6C-BED090CFF1C6}" destId="{C13EAC54-D968-4DC1-9B83-57F9538DA570}" srcOrd="0" destOrd="0" presId="urn:microsoft.com/office/officeart/2005/8/layout/hierarchy2"/>
    <dgm:cxn modelId="{E3D122B9-1E97-4370-A1BC-ABD0B76B67D8}" type="presOf" srcId="{5C90110E-29C5-49C7-B956-1092E825D751}" destId="{61E4DB06-D971-4B95-9723-C90D9F87CAE4}" srcOrd="0" destOrd="0" presId="urn:microsoft.com/office/officeart/2005/8/layout/hierarchy2"/>
    <dgm:cxn modelId="{BFD0070E-F794-48DC-BFBD-EDBD9EA97DA1}" type="presOf" srcId="{E93D4128-24BF-4C53-BB2F-F637BADD6071}" destId="{AAC2EAD8-FE60-4CF8-B5CA-B214FD24E159}" srcOrd="0" destOrd="0" presId="urn:microsoft.com/office/officeart/2005/8/layout/hierarchy2"/>
    <dgm:cxn modelId="{29D809BA-D5C9-4D9D-B341-415C431C1899}" type="presOf" srcId="{AA8DCA47-CCB8-4475-A793-1368DD4ED0F3}" destId="{FCC17A86-635F-4569-A001-56280602F889}" srcOrd="0" destOrd="0" presId="urn:microsoft.com/office/officeart/2005/8/layout/hierarchy2"/>
    <dgm:cxn modelId="{83DEAEC1-2DA7-400B-A285-21E724F12025}" srcId="{1F7DDA76-B889-4B0E-8E39-B0C056F7E010}" destId="{1474DF5B-F394-4376-AD6C-BED090CFF1C6}" srcOrd="4" destOrd="0" parTransId="{5C90110E-29C5-49C7-B956-1092E825D751}" sibTransId="{EC993E69-22EA-44F2-A651-4B6F38FC2A86}"/>
    <dgm:cxn modelId="{F148E802-DF27-4F47-BDE1-8CCA613A0849}" type="presOf" srcId="{E407F5E1-7899-4FB9-A944-88DDB56907C8}" destId="{AE099CF2-F911-48C6-9ABD-F6E997D51529}" srcOrd="1" destOrd="0" presId="urn:microsoft.com/office/officeart/2005/8/layout/hierarchy2"/>
    <dgm:cxn modelId="{ED56F536-0BD2-44A0-A096-C3350A99511C}" srcId="{1F7DDA76-B889-4B0E-8E39-B0C056F7E010}" destId="{498DF5E8-3759-4034-81AE-BB754DC99FB6}" srcOrd="5" destOrd="0" parTransId="{E407F5E1-7899-4FB9-A944-88DDB56907C8}" sibTransId="{CF88F29C-0788-42D0-8C1A-68512F641336}"/>
    <dgm:cxn modelId="{4BD4BA05-16BB-457E-B03E-A1F718AAE9C2}" type="presOf" srcId="{03067A3D-BFD8-48A5-9D7C-97DD21CE7DB4}" destId="{85400A0A-99FC-4145-8A4E-A685EA2FAEA2}" srcOrd="0" destOrd="0" presId="urn:microsoft.com/office/officeart/2005/8/layout/hierarchy2"/>
    <dgm:cxn modelId="{5CB88F68-35D0-4E5A-B3BF-F950F63EE1A8}" srcId="{1F7DDA76-B889-4B0E-8E39-B0C056F7E010}" destId="{F838A106-BD4C-473A-B582-4F30C9314148}" srcOrd="2" destOrd="0" parTransId="{5F2EFF9E-7DD8-4465-94F6-D56474609AD2}" sibTransId="{1F56A221-59DD-4612-9FA3-40FDA47F251E}"/>
    <dgm:cxn modelId="{20F886ED-11F0-40C0-BE65-0E5A43D5A2CA}" type="presOf" srcId="{AD50D399-9001-4EC4-A31B-C691170F1717}" destId="{F7B049B2-BDD6-4B05-9E03-BDF03E6203F0}" srcOrd="0" destOrd="0" presId="urn:microsoft.com/office/officeart/2005/8/layout/hierarchy2"/>
    <dgm:cxn modelId="{429D7A7F-0FCA-428C-8F77-0742C3B4BD07}" type="presOf" srcId="{C59A4AAE-2156-4539-B0EB-D29F63F78D40}" destId="{CE28A956-DEDF-4F4A-9341-428C5DF2EC28}" srcOrd="1" destOrd="0" presId="urn:microsoft.com/office/officeart/2005/8/layout/hierarchy2"/>
    <dgm:cxn modelId="{F1128D11-85D9-470A-8278-83CFEC2F6FE3}" type="presOf" srcId="{D7B0A9CB-AE80-43D5-B2C0-18D123049255}" destId="{41ABA384-9CCE-4FB5-AC36-FC87AB714F4D}" srcOrd="0" destOrd="0" presId="urn:microsoft.com/office/officeart/2005/8/layout/hierarchy2"/>
    <dgm:cxn modelId="{B2AA3E64-1437-4E3B-BE11-98E1A332BEE3}" srcId="{1F7DDA76-B889-4B0E-8E39-B0C056F7E010}" destId="{D64ED72F-99B0-4BF2-ACD6-B76BCF300A2F}" srcOrd="1" destOrd="0" parTransId="{C59A4AAE-2156-4539-B0EB-D29F63F78D40}" sibTransId="{2A09E791-6E65-48F8-9C5F-A43881AAF17E}"/>
    <dgm:cxn modelId="{CA90D8EB-C8C4-47FD-980F-D91BD9AA2DD5}" type="presOf" srcId="{AA8DCA47-CCB8-4475-A793-1368DD4ED0F3}" destId="{7AD03E80-E767-47C9-A59D-65F88CECA8E6}" srcOrd="1" destOrd="0" presId="urn:microsoft.com/office/officeart/2005/8/layout/hierarchy2"/>
    <dgm:cxn modelId="{E1DA3507-E93E-4E6D-BACB-8708B413D1E9}" type="presOf" srcId="{5C90110E-29C5-49C7-B956-1092E825D751}" destId="{02F160F6-B1F0-4E39-AA97-C8B4528F616F}" srcOrd="1" destOrd="0" presId="urn:microsoft.com/office/officeart/2005/8/layout/hierarchy2"/>
    <dgm:cxn modelId="{B5E15A45-5B5A-4285-B2C4-C7AD28E971EE}" type="presOf" srcId="{D34F5060-12A0-4E67-83F0-5C27C78AF2D8}" destId="{11669BC3-7088-4748-892F-DC6D5BA113B2}" srcOrd="0" destOrd="0" presId="urn:microsoft.com/office/officeart/2005/8/layout/hierarchy2"/>
    <dgm:cxn modelId="{15FA353F-9F4C-452B-9CC7-B13FE90CEDCA}" type="presOf" srcId="{EE025653-FD81-4C07-B65E-5405335F2467}" destId="{F8730C99-67C6-4268-B4D5-12391EAA903E}" srcOrd="0" destOrd="0" presId="urn:microsoft.com/office/officeart/2005/8/layout/hierarchy2"/>
    <dgm:cxn modelId="{94216F33-4E7B-49B1-9F12-ABD5FDC399DB}" srcId="{1F7DDA76-B889-4B0E-8E39-B0C056F7E010}" destId="{4B7946E0-6F85-4131-BCEE-0AE2B5A95957}" srcOrd="3" destOrd="0" parTransId="{AD50D399-9001-4EC4-A31B-C691170F1717}" sibTransId="{73C77382-BC73-4ECA-AB11-7FF4969515F9}"/>
    <dgm:cxn modelId="{95FD5FB4-6851-4D1D-8A51-6358A3A3623E}" srcId="{49A8F281-6931-4F0C-9BFC-853CBB8E97E8}" destId="{D34F5060-12A0-4E67-83F0-5C27C78AF2D8}" srcOrd="1" destOrd="0" parTransId="{03067A3D-BFD8-48A5-9D7C-97DD21CE7DB4}" sibTransId="{1664B035-5321-408A-B57F-A24463C24820}"/>
    <dgm:cxn modelId="{E949E1CE-1803-4554-8812-DA6A85ABA107}" type="presOf" srcId="{1F7DDA76-B889-4B0E-8E39-B0C056F7E010}" destId="{875EACB6-A206-4BAA-876E-CA251BE67D5A}" srcOrd="0" destOrd="0" presId="urn:microsoft.com/office/officeart/2005/8/layout/hierarchy2"/>
    <dgm:cxn modelId="{B0BD9CA3-3CE7-4D44-A153-6B4878527397}" type="presOf" srcId="{378925D5-D5AC-4911-A4B5-22DB3CE72054}" destId="{0CC1031A-2A74-427A-9F11-E5BDA95C1DEC}" srcOrd="1" destOrd="0" presId="urn:microsoft.com/office/officeart/2005/8/layout/hierarchy2"/>
    <dgm:cxn modelId="{5BC28F37-7741-4BE0-A04A-33B7B2A69D19}" type="presOf" srcId="{5F2EFF9E-7DD8-4465-94F6-D56474609AD2}" destId="{13D0F6DE-C74A-4210-9D4F-D67810F73EE6}" srcOrd="1" destOrd="0" presId="urn:microsoft.com/office/officeart/2005/8/layout/hierarchy2"/>
    <dgm:cxn modelId="{27ECF6E4-FB29-42CA-9FDE-20CC45C362E4}" type="presOf" srcId="{49A8F281-6931-4F0C-9BFC-853CBB8E97E8}" destId="{734AD33D-66B0-4202-AD94-91C7F2791ABE}" srcOrd="0" destOrd="0" presId="urn:microsoft.com/office/officeart/2005/8/layout/hierarchy2"/>
    <dgm:cxn modelId="{CE8F1755-28A9-4CE5-B8FE-F20A83424D2A}" type="presOf" srcId="{EE025653-FD81-4C07-B65E-5405335F2467}" destId="{CAA01A70-B320-43D9-9EC0-7D8DC955E1CC}" srcOrd="1" destOrd="0" presId="urn:microsoft.com/office/officeart/2005/8/layout/hierarchy2"/>
    <dgm:cxn modelId="{38C5DD79-96E1-4886-A137-752D2FFE3EB0}" srcId="{BA74C546-6572-4007-98D7-DD80B270BE59}" destId="{49A8F281-6931-4F0C-9BFC-853CBB8E97E8}" srcOrd="0" destOrd="0" parTransId="{0D437795-C177-419F-B000-3239AED93F1F}" sibTransId="{F9C0354C-406A-41F0-8763-FFA3EA0F2F62}"/>
    <dgm:cxn modelId="{C51AF788-B8C9-4E3F-AE80-CD075062E8C1}" type="presOf" srcId="{D7B0A9CB-AE80-43D5-B2C0-18D123049255}" destId="{DC9A668E-7161-447A-8447-C6ECC68DEF73}" srcOrd="1" destOrd="0" presId="urn:microsoft.com/office/officeart/2005/8/layout/hierarchy2"/>
    <dgm:cxn modelId="{E7E36DAD-7D12-4FA2-8FC2-72B8C0595B10}" type="presParOf" srcId="{76C0A117-FA49-4CB3-8FF4-AE44629063CC}" destId="{FA0F99AB-58E1-4A77-AB80-0DFF55977DD6}" srcOrd="0" destOrd="0" presId="urn:microsoft.com/office/officeart/2005/8/layout/hierarchy2"/>
    <dgm:cxn modelId="{06D07C6A-F564-42F5-9D07-DA7725BEEF8E}" type="presParOf" srcId="{FA0F99AB-58E1-4A77-AB80-0DFF55977DD6}" destId="{734AD33D-66B0-4202-AD94-91C7F2791ABE}" srcOrd="0" destOrd="0" presId="urn:microsoft.com/office/officeart/2005/8/layout/hierarchy2"/>
    <dgm:cxn modelId="{BBF4AE17-EB11-4CAA-898E-8259A8805CF6}" type="presParOf" srcId="{FA0F99AB-58E1-4A77-AB80-0DFF55977DD6}" destId="{037BB567-D7DB-45A0-9A4A-BEF55B238802}" srcOrd="1" destOrd="0" presId="urn:microsoft.com/office/officeart/2005/8/layout/hierarchy2"/>
    <dgm:cxn modelId="{04C306F3-4D44-4104-8A3D-A0E4B6FDC717}" type="presParOf" srcId="{037BB567-D7DB-45A0-9A4A-BEF55B238802}" destId="{41ABA384-9CCE-4FB5-AC36-FC87AB714F4D}" srcOrd="0" destOrd="0" presId="urn:microsoft.com/office/officeart/2005/8/layout/hierarchy2"/>
    <dgm:cxn modelId="{187D8533-5801-4624-BBB3-133AE93CEAF6}" type="presParOf" srcId="{41ABA384-9CCE-4FB5-AC36-FC87AB714F4D}" destId="{DC9A668E-7161-447A-8447-C6ECC68DEF73}" srcOrd="0" destOrd="0" presId="urn:microsoft.com/office/officeart/2005/8/layout/hierarchy2"/>
    <dgm:cxn modelId="{6BF0B6A2-2301-4818-84F7-7A5B887D9096}" type="presParOf" srcId="{037BB567-D7DB-45A0-9A4A-BEF55B238802}" destId="{0F57E4D3-7032-4FE8-A021-A0A44F257C0E}" srcOrd="1" destOrd="0" presId="urn:microsoft.com/office/officeart/2005/8/layout/hierarchy2"/>
    <dgm:cxn modelId="{E4377FB3-93CA-4255-991D-7B31EE257C4D}" type="presParOf" srcId="{0F57E4D3-7032-4FE8-A021-A0A44F257C0E}" destId="{875EACB6-A206-4BAA-876E-CA251BE67D5A}" srcOrd="0" destOrd="0" presId="urn:microsoft.com/office/officeart/2005/8/layout/hierarchy2"/>
    <dgm:cxn modelId="{FBDD81EF-DE3D-407F-8DB4-F81585E9FCFE}" type="presParOf" srcId="{0F57E4D3-7032-4FE8-A021-A0A44F257C0E}" destId="{A25D2E7A-2779-4BF6-8EC0-8816CCD3901E}" srcOrd="1" destOrd="0" presId="urn:microsoft.com/office/officeart/2005/8/layout/hierarchy2"/>
    <dgm:cxn modelId="{FEE71534-1381-4D9D-B19D-0D46F04F24AB}" type="presParOf" srcId="{A25D2E7A-2779-4BF6-8EC0-8816CCD3901E}" destId="{F8730C99-67C6-4268-B4D5-12391EAA903E}" srcOrd="0" destOrd="0" presId="urn:microsoft.com/office/officeart/2005/8/layout/hierarchy2"/>
    <dgm:cxn modelId="{2C3FE9CA-6D80-4985-B221-B75347C0451D}" type="presParOf" srcId="{F8730C99-67C6-4268-B4D5-12391EAA903E}" destId="{CAA01A70-B320-43D9-9EC0-7D8DC955E1CC}" srcOrd="0" destOrd="0" presId="urn:microsoft.com/office/officeart/2005/8/layout/hierarchy2"/>
    <dgm:cxn modelId="{F2322F6F-2F37-4B60-AD59-BF14156B0B48}" type="presParOf" srcId="{A25D2E7A-2779-4BF6-8EC0-8816CCD3901E}" destId="{F632956D-5529-4FFE-9C22-494773DE0F93}" srcOrd="1" destOrd="0" presId="urn:microsoft.com/office/officeart/2005/8/layout/hierarchy2"/>
    <dgm:cxn modelId="{DEA8ABF4-630E-4378-8AFB-341CD51830A5}" type="presParOf" srcId="{F632956D-5529-4FFE-9C22-494773DE0F93}" destId="{8690B5A7-0A8E-497D-8E5D-0E3F4D7FE6F2}" srcOrd="0" destOrd="0" presId="urn:microsoft.com/office/officeart/2005/8/layout/hierarchy2"/>
    <dgm:cxn modelId="{FD5A895B-8C7E-4F2B-BFB6-95D26890BE6C}" type="presParOf" srcId="{F632956D-5529-4FFE-9C22-494773DE0F93}" destId="{E82B9E9D-852E-421A-9E88-E3086398CB72}" srcOrd="1" destOrd="0" presId="urn:microsoft.com/office/officeart/2005/8/layout/hierarchy2"/>
    <dgm:cxn modelId="{6B07D64E-A939-48B9-9E7E-0DBD68926AA4}" type="presParOf" srcId="{A25D2E7A-2779-4BF6-8EC0-8816CCD3901E}" destId="{0F0B5460-3925-4D82-81FC-AAD35D47FFAE}" srcOrd="2" destOrd="0" presId="urn:microsoft.com/office/officeart/2005/8/layout/hierarchy2"/>
    <dgm:cxn modelId="{3AC349C8-6CD4-4799-960F-A2BDE22EDFB5}" type="presParOf" srcId="{0F0B5460-3925-4D82-81FC-AAD35D47FFAE}" destId="{CE28A956-DEDF-4F4A-9341-428C5DF2EC28}" srcOrd="0" destOrd="0" presId="urn:microsoft.com/office/officeart/2005/8/layout/hierarchy2"/>
    <dgm:cxn modelId="{FFDCE334-5050-4D20-A735-D8D5F15AECD7}" type="presParOf" srcId="{A25D2E7A-2779-4BF6-8EC0-8816CCD3901E}" destId="{13F57BAA-6CBF-424B-BFD0-625887AD526E}" srcOrd="3" destOrd="0" presId="urn:microsoft.com/office/officeart/2005/8/layout/hierarchy2"/>
    <dgm:cxn modelId="{0BB656F7-CB29-47B3-8395-FC194C896E3F}" type="presParOf" srcId="{13F57BAA-6CBF-424B-BFD0-625887AD526E}" destId="{6B102485-ACD1-48A4-B96C-C5B8038FA330}" srcOrd="0" destOrd="0" presId="urn:microsoft.com/office/officeart/2005/8/layout/hierarchy2"/>
    <dgm:cxn modelId="{CE9BBADA-B2E9-40EA-B890-0522F8848395}" type="presParOf" srcId="{13F57BAA-6CBF-424B-BFD0-625887AD526E}" destId="{10F540C4-4A73-4246-81EE-AA7F0CAB7A5B}" srcOrd="1" destOrd="0" presId="urn:microsoft.com/office/officeart/2005/8/layout/hierarchy2"/>
    <dgm:cxn modelId="{3F013B21-7DAA-42D4-8915-9CB033BE5B8F}" type="presParOf" srcId="{A25D2E7A-2779-4BF6-8EC0-8816CCD3901E}" destId="{F26C5195-2D18-4C71-B2BA-A9610E907ADA}" srcOrd="4" destOrd="0" presId="urn:microsoft.com/office/officeart/2005/8/layout/hierarchy2"/>
    <dgm:cxn modelId="{F5597EFD-2B19-4126-98DF-5C74A05066BB}" type="presParOf" srcId="{F26C5195-2D18-4C71-B2BA-A9610E907ADA}" destId="{13D0F6DE-C74A-4210-9D4F-D67810F73EE6}" srcOrd="0" destOrd="0" presId="urn:microsoft.com/office/officeart/2005/8/layout/hierarchy2"/>
    <dgm:cxn modelId="{6FED0E51-2321-404A-B83B-784E9A6B5269}" type="presParOf" srcId="{A25D2E7A-2779-4BF6-8EC0-8816CCD3901E}" destId="{585567E8-AA30-4FB0-A815-8AA0EDB20C73}" srcOrd="5" destOrd="0" presId="urn:microsoft.com/office/officeart/2005/8/layout/hierarchy2"/>
    <dgm:cxn modelId="{6B10864E-DF48-4C0D-A9E8-C0EF7B3B044B}" type="presParOf" srcId="{585567E8-AA30-4FB0-A815-8AA0EDB20C73}" destId="{AAB2E39A-9380-41F0-8E06-D1E0F3B68D18}" srcOrd="0" destOrd="0" presId="urn:microsoft.com/office/officeart/2005/8/layout/hierarchy2"/>
    <dgm:cxn modelId="{B5F5B34C-3F8F-4674-9E25-23E2B37B3B9A}" type="presParOf" srcId="{585567E8-AA30-4FB0-A815-8AA0EDB20C73}" destId="{680AFDC2-4411-4DFD-B737-63BBCA7DAB04}" srcOrd="1" destOrd="0" presId="urn:microsoft.com/office/officeart/2005/8/layout/hierarchy2"/>
    <dgm:cxn modelId="{F9EF297A-4FC9-48CB-A01F-9006B01E01BE}" type="presParOf" srcId="{A25D2E7A-2779-4BF6-8EC0-8816CCD3901E}" destId="{F7B049B2-BDD6-4B05-9E03-BDF03E6203F0}" srcOrd="6" destOrd="0" presId="urn:microsoft.com/office/officeart/2005/8/layout/hierarchy2"/>
    <dgm:cxn modelId="{9A1E6408-C8DB-433E-9482-C8532C43B9D7}" type="presParOf" srcId="{F7B049B2-BDD6-4B05-9E03-BDF03E6203F0}" destId="{239C87F2-64F8-45CD-BB88-3CD6450B0F41}" srcOrd="0" destOrd="0" presId="urn:microsoft.com/office/officeart/2005/8/layout/hierarchy2"/>
    <dgm:cxn modelId="{84622121-64DA-4E64-88A9-DCC5590115FD}" type="presParOf" srcId="{A25D2E7A-2779-4BF6-8EC0-8816CCD3901E}" destId="{121A40DB-E3D0-496A-85EE-EBD1FDBD5202}" srcOrd="7" destOrd="0" presId="urn:microsoft.com/office/officeart/2005/8/layout/hierarchy2"/>
    <dgm:cxn modelId="{3D1E28D8-6466-4193-9A8F-94541CBD158A}" type="presParOf" srcId="{121A40DB-E3D0-496A-85EE-EBD1FDBD5202}" destId="{712E9835-9651-4688-AF09-4C340A578B34}" srcOrd="0" destOrd="0" presId="urn:microsoft.com/office/officeart/2005/8/layout/hierarchy2"/>
    <dgm:cxn modelId="{608536E0-EA72-42F3-A70C-EBFE827FE480}" type="presParOf" srcId="{121A40DB-E3D0-496A-85EE-EBD1FDBD5202}" destId="{D5AEE5F3-2F5C-4527-9683-09B564B5EBCA}" srcOrd="1" destOrd="0" presId="urn:microsoft.com/office/officeart/2005/8/layout/hierarchy2"/>
    <dgm:cxn modelId="{698967C0-CDD9-49AF-BD6F-A15E7A90885B}" type="presParOf" srcId="{A25D2E7A-2779-4BF6-8EC0-8816CCD3901E}" destId="{61E4DB06-D971-4B95-9723-C90D9F87CAE4}" srcOrd="8" destOrd="0" presId="urn:microsoft.com/office/officeart/2005/8/layout/hierarchy2"/>
    <dgm:cxn modelId="{BD63F210-A703-483B-81BD-08B25912FE1E}" type="presParOf" srcId="{61E4DB06-D971-4B95-9723-C90D9F87CAE4}" destId="{02F160F6-B1F0-4E39-AA97-C8B4528F616F}" srcOrd="0" destOrd="0" presId="urn:microsoft.com/office/officeart/2005/8/layout/hierarchy2"/>
    <dgm:cxn modelId="{CAE4A4C8-6CB8-48FE-A13B-4DF0E509123F}" type="presParOf" srcId="{A25D2E7A-2779-4BF6-8EC0-8816CCD3901E}" destId="{AED0B2B3-80E7-4DB2-A2B3-8C4A7F3638CD}" srcOrd="9" destOrd="0" presId="urn:microsoft.com/office/officeart/2005/8/layout/hierarchy2"/>
    <dgm:cxn modelId="{3F08CF1F-07A8-41EC-AF22-DBA9C8648527}" type="presParOf" srcId="{AED0B2B3-80E7-4DB2-A2B3-8C4A7F3638CD}" destId="{C13EAC54-D968-4DC1-9B83-57F9538DA570}" srcOrd="0" destOrd="0" presId="urn:microsoft.com/office/officeart/2005/8/layout/hierarchy2"/>
    <dgm:cxn modelId="{65965B1E-4D6D-46C3-A297-4FE3F2C5539F}" type="presParOf" srcId="{AED0B2B3-80E7-4DB2-A2B3-8C4A7F3638CD}" destId="{57A58116-34C4-40C9-B230-65A919FC18FE}" srcOrd="1" destOrd="0" presId="urn:microsoft.com/office/officeart/2005/8/layout/hierarchy2"/>
    <dgm:cxn modelId="{CD98C56A-A8D4-46B1-BB5F-60AD6110762F}" type="presParOf" srcId="{A25D2E7A-2779-4BF6-8EC0-8816CCD3901E}" destId="{230F65A2-D57E-4612-9B65-8F65CA6DBE82}" srcOrd="10" destOrd="0" presId="urn:microsoft.com/office/officeart/2005/8/layout/hierarchy2"/>
    <dgm:cxn modelId="{1C508D39-05A1-40D8-8522-D875B207534F}" type="presParOf" srcId="{230F65A2-D57E-4612-9B65-8F65CA6DBE82}" destId="{AE099CF2-F911-48C6-9ABD-F6E997D51529}" srcOrd="0" destOrd="0" presId="urn:microsoft.com/office/officeart/2005/8/layout/hierarchy2"/>
    <dgm:cxn modelId="{326A0E61-F1D1-4216-A745-C77D2569489F}" type="presParOf" srcId="{A25D2E7A-2779-4BF6-8EC0-8816CCD3901E}" destId="{E2230190-82FE-4125-A342-5D01E39E5967}" srcOrd="11" destOrd="0" presId="urn:microsoft.com/office/officeart/2005/8/layout/hierarchy2"/>
    <dgm:cxn modelId="{DD6CEF3A-0AC8-4D4F-9E4D-CC20CAFDE921}" type="presParOf" srcId="{E2230190-82FE-4125-A342-5D01E39E5967}" destId="{2EE5A8F5-4661-45F7-BAA0-5C9996400B8D}" srcOrd="0" destOrd="0" presId="urn:microsoft.com/office/officeart/2005/8/layout/hierarchy2"/>
    <dgm:cxn modelId="{0B3D650A-8411-4BEE-8207-9CEF990120D0}" type="presParOf" srcId="{E2230190-82FE-4125-A342-5D01E39E5967}" destId="{E999A1AD-1D3E-4A97-9F3F-97F307525E46}" srcOrd="1" destOrd="0" presId="urn:microsoft.com/office/officeart/2005/8/layout/hierarchy2"/>
    <dgm:cxn modelId="{F4FD7840-AA7E-4114-83B3-235FBCD1604F}" type="presParOf" srcId="{A25D2E7A-2779-4BF6-8EC0-8816CCD3901E}" destId="{F21F804E-39A1-46AF-B98A-245FF50C27B4}" srcOrd="12" destOrd="0" presId="urn:microsoft.com/office/officeart/2005/8/layout/hierarchy2"/>
    <dgm:cxn modelId="{569E5B60-9693-4ABF-A608-55887D168612}" type="presParOf" srcId="{F21F804E-39A1-46AF-B98A-245FF50C27B4}" destId="{0CC1031A-2A74-427A-9F11-E5BDA95C1DEC}" srcOrd="0" destOrd="0" presId="urn:microsoft.com/office/officeart/2005/8/layout/hierarchy2"/>
    <dgm:cxn modelId="{8B619705-795D-473C-A90C-5773A8CEF3F0}" type="presParOf" srcId="{A25D2E7A-2779-4BF6-8EC0-8816CCD3901E}" destId="{AD119D40-46AF-416B-B004-8B011ADD7E8D}" srcOrd="13" destOrd="0" presId="urn:microsoft.com/office/officeart/2005/8/layout/hierarchy2"/>
    <dgm:cxn modelId="{59AE4215-B06A-4D7C-A5BD-B84EFA3B9BCB}" type="presParOf" srcId="{AD119D40-46AF-416B-B004-8B011ADD7E8D}" destId="{AAC2EAD8-FE60-4CF8-B5CA-B214FD24E159}" srcOrd="0" destOrd="0" presId="urn:microsoft.com/office/officeart/2005/8/layout/hierarchy2"/>
    <dgm:cxn modelId="{22433218-C44F-4612-AE85-73323F9A0A0F}" type="presParOf" srcId="{AD119D40-46AF-416B-B004-8B011ADD7E8D}" destId="{A033A042-91BD-4788-B394-D9771F4A4556}" srcOrd="1" destOrd="0" presId="urn:microsoft.com/office/officeart/2005/8/layout/hierarchy2"/>
    <dgm:cxn modelId="{06879FBE-4785-4EB4-9CAA-D4F4D6315B2C}" type="presParOf" srcId="{037BB567-D7DB-45A0-9A4A-BEF55B238802}" destId="{85400A0A-99FC-4145-8A4E-A685EA2FAEA2}" srcOrd="2" destOrd="0" presId="urn:microsoft.com/office/officeart/2005/8/layout/hierarchy2"/>
    <dgm:cxn modelId="{F249605B-0814-4D27-94D7-61F5519691C4}" type="presParOf" srcId="{85400A0A-99FC-4145-8A4E-A685EA2FAEA2}" destId="{710BA575-C92A-453C-8D31-3C85F27F8661}" srcOrd="0" destOrd="0" presId="urn:microsoft.com/office/officeart/2005/8/layout/hierarchy2"/>
    <dgm:cxn modelId="{FBA8DA8E-F2F3-483E-81F1-477A62A28718}" type="presParOf" srcId="{037BB567-D7DB-45A0-9A4A-BEF55B238802}" destId="{483EAD9C-B5C9-47E6-AC63-DA0A9A3EDD41}" srcOrd="3" destOrd="0" presId="urn:microsoft.com/office/officeart/2005/8/layout/hierarchy2"/>
    <dgm:cxn modelId="{E2C796CF-C4CD-4541-92B7-74596B326CE1}" type="presParOf" srcId="{483EAD9C-B5C9-47E6-AC63-DA0A9A3EDD41}" destId="{11669BC3-7088-4748-892F-DC6D5BA113B2}" srcOrd="0" destOrd="0" presId="urn:microsoft.com/office/officeart/2005/8/layout/hierarchy2"/>
    <dgm:cxn modelId="{A1D6FA6A-A4A5-44F8-A806-154CA1E1C87D}" type="presParOf" srcId="{483EAD9C-B5C9-47E6-AC63-DA0A9A3EDD41}" destId="{A21A6559-9613-4F8B-B191-1F05DA0B5133}" srcOrd="1" destOrd="0" presId="urn:microsoft.com/office/officeart/2005/8/layout/hierarchy2"/>
    <dgm:cxn modelId="{A32D99AD-C231-48AD-BDA1-9BF749DFBD73}" type="presParOf" srcId="{A21A6559-9613-4F8B-B191-1F05DA0B5133}" destId="{FCC17A86-635F-4569-A001-56280602F889}" srcOrd="0" destOrd="0" presId="urn:microsoft.com/office/officeart/2005/8/layout/hierarchy2"/>
    <dgm:cxn modelId="{A2C92F2F-8AEA-4CE3-A313-D3D8FF79DF23}" type="presParOf" srcId="{FCC17A86-635F-4569-A001-56280602F889}" destId="{7AD03E80-E767-47C9-A59D-65F88CECA8E6}" srcOrd="0" destOrd="0" presId="urn:microsoft.com/office/officeart/2005/8/layout/hierarchy2"/>
    <dgm:cxn modelId="{8B8D74E4-D68F-491B-B05B-C825E9DED18D}" type="presParOf" srcId="{A21A6559-9613-4F8B-B191-1F05DA0B5133}" destId="{4B8989D3-7666-4198-9662-F34DB9BA8037}" srcOrd="1" destOrd="0" presId="urn:microsoft.com/office/officeart/2005/8/layout/hierarchy2"/>
    <dgm:cxn modelId="{FE58D34B-F7F7-4A57-8E00-F0A18F5E1E3B}" type="presParOf" srcId="{4B8989D3-7666-4198-9662-F34DB9BA8037}" destId="{983A5402-0C8B-439F-BF78-7CD8294A5FA1}" srcOrd="0" destOrd="0" presId="urn:microsoft.com/office/officeart/2005/8/layout/hierarchy2"/>
    <dgm:cxn modelId="{7BFA9F9C-11BD-44E3-A97A-1AC518555154}" type="presParOf" srcId="{4B8989D3-7666-4198-9662-F34DB9BA8037}" destId="{55ED88BE-5C83-4610-9482-EC8B3BB0AE08}" srcOrd="1" destOrd="0" presId="urn:microsoft.com/office/officeart/2005/8/layout/hierarchy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3CDA3F-2C18-4B65-A3C4-B199C14D5D00}">
      <dsp:nvSpPr>
        <dsp:cNvPr id="0" name=""/>
        <dsp:cNvSpPr/>
      </dsp:nvSpPr>
      <dsp:spPr>
        <a:xfrm>
          <a:off x="4325053" y="1358214"/>
          <a:ext cx="619333" cy="259200"/>
        </a:xfrm>
        <a:custGeom>
          <a:avLst/>
          <a:gdLst/>
          <a:ahLst/>
          <a:cxnLst/>
          <a:rect l="0" t="0" r="0" b="0"/>
          <a:pathLst>
            <a:path>
              <a:moveTo>
                <a:pt x="0" y="0"/>
              </a:moveTo>
              <a:lnTo>
                <a:pt x="0" y="176637"/>
              </a:lnTo>
              <a:lnTo>
                <a:pt x="619333" y="176637"/>
              </a:lnTo>
              <a:lnTo>
                <a:pt x="619333" y="259200"/>
              </a:lnTo>
            </a:path>
          </a:pathLst>
        </a:custGeom>
        <a:noFill/>
        <a:ln w="25400" cap="flat" cmpd="sng" algn="ctr">
          <a:solidFill>
            <a:srgbClr val="F79646">
              <a:hueOff val="0"/>
              <a:satOff val="0"/>
              <a:lumOff val="0"/>
              <a:alphaOff val="0"/>
            </a:srgb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2D1A86C-F218-4A1C-AF41-13384701E855}">
      <dsp:nvSpPr>
        <dsp:cNvPr id="0" name=""/>
        <dsp:cNvSpPr/>
      </dsp:nvSpPr>
      <dsp:spPr>
        <a:xfrm>
          <a:off x="3506511" y="1358214"/>
          <a:ext cx="818542" cy="259200"/>
        </a:xfrm>
        <a:custGeom>
          <a:avLst/>
          <a:gdLst/>
          <a:ahLst/>
          <a:cxnLst/>
          <a:rect l="0" t="0" r="0" b="0"/>
          <a:pathLst>
            <a:path>
              <a:moveTo>
                <a:pt x="818542" y="0"/>
              </a:moveTo>
              <a:lnTo>
                <a:pt x="818542" y="176637"/>
              </a:lnTo>
              <a:lnTo>
                <a:pt x="0" y="176637"/>
              </a:lnTo>
              <a:lnTo>
                <a:pt x="0" y="259200"/>
              </a:lnTo>
            </a:path>
          </a:pathLst>
        </a:custGeom>
        <a:noFill/>
        <a:ln w="25400" cap="flat" cmpd="sng" algn="ctr">
          <a:solidFill>
            <a:srgbClr val="F79646">
              <a:hueOff val="0"/>
              <a:satOff val="0"/>
              <a:lumOff val="0"/>
              <a:alphaOff val="0"/>
            </a:srgb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759893B-15D8-4CA5-9D11-7760F3607CA1}">
      <dsp:nvSpPr>
        <dsp:cNvPr id="0" name=""/>
        <dsp:cNvSpPr/>
      </dsp:nvSpPr>
      <dsp:spPr>
        <a:xfrm>
          <a:off x="2965687" y="566871"/>
          <a:ext cx="1359366" cy="259200"/>
        </a:xfrm>
        <a:custGeom>
          <a:avLst/>
          <a:gdLst/>
          <a:ahLst/>
          <a:cxnLst/>
          <a:rect l="0" t="0" r="0" b="0"/>
          <a:pathLst>
            <a:path>
              <a:moveTo>
                <a:pt x="0" y="0"/>
              </a:moveTo>
              <a:lnTo>
                <a:pt x="0" y="176637"/>
              </a:lnTo>
              <a:lnTo>
                <a:pt x="1359366" y="176637"/>
              </a:lnTo>
              <a:lnTo>
                <a:pt x="1359366" y="259200"/>
              </a:lnTo>
            </a:path>
          </a:pathLst>
        </a:custGeom>
        <a:noFill/>
        <a:ln w="25400" cap="flat" cmpd="sng" algn="ctr">
          <a:solidFill>
            <a:srgbClr val="4BACC6">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5A20345D-28F2-4C6C-8835-EC7ACCBBB7A6}">
      <dsp:nvSpPr>
        <dsp:cNvPr id="0" name=""/>
        <dsp:cNvSpPr/>
      </dsp:nvSpPr>
      <dsp:spPr>
        <a:xfrm>
          <a:off x="1585420" y="1392006"/>
          <a:ext cx="621753" cy="259200"/>
        </a:xfrm>
        <a:custGeom>
          <a:avLst/>
          <a:gdLst/>
          <a:ahLst/>
          <a:cxnLst/>
          <a:rect l="0" t="0" r="0" b="0"/>
          <a:pathLst>
            <a:path>
              <a:moveTo>
                <a:pt x="0" y="0"/>
              </a:moveTo>
              <a:lnTo>
                <a:pt x="0" y="176637"/>
              </a:lnTo>
              <a:lnTo>
                <a:pt x="621753" y="176637"/>
              </a:lnTo>
              <a:lnTo>
                <a:pt x="621753" y="259200"/>
              </a:lnTo>
            </a:path>
          </a:pathLst>
        </a:custGeom>
        <a:noFill/>
        <a:ln w="25400" cap="flat" cmpd="sng" algn="ctr">
          <a:solidFill>
            <a:srgbClr val="F79646">
              <a:hueOff val="0"/>
              <a:satOff val="0"/>
              <a:lumOff val="0"/>
              <a:alphaOff val="0"/>
            </a:srgb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676D233-2708-4BCA-A6DA-84558E745227}">
      <dsp:nvSpPr>
        <dsp:cNvPr id="0" name=""/>
        <dsp:cNvSpPr/>
      </dsp:nvSpPr>
      <dsp:spPr>
        <a:xfrm>
          <a:off x="905416" y="1392006"/>
          <a:ext cx="680004" cy="259200"/>
        </a:xfrm>
        <a:custGeom>
          <a:avLst/>
          <a:gdLst/>
          <a:ahLst/>
          <a:cxnLst/>
          <a:rect l="0" t="0" r="0" b="0"/>
          <a:pathLst>
            <a:path>
              <a:moveTo>
                <a:pt x="680004" y="0"/>
              </a:moveTo>
              <a:lnTo>
                <a:pt x="680004" y="176637"/>
              </a:lnTo>
              <a:lnTo>
                <a:pt x="0" y="176637"/>
              </a:lnTo>
              <a:lnTo>
                <a:pt x="0" y="259200"/>
              </a:lnTo>
            </a:path>
          </a:pathLst>
        </a:custGeom>
        <a:noFill/>
        <a:ln w="25400" cap="flat" cmpd="sng" algn="ctr">
          <a:solidFill>
            <a:srgbClr val="F79646">
              <a:hueOff val="0"/>
              <a:satOff val="0"/>
              <a:lumOff val="0"/>
              <a:alphaOff val="0"/>
            </a:srgb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6612757-376B-4ED0-9173-4BBBC4925C02}">
      <dsp:nvSpPr>
        <dsp:cNvPr id="0" name=""/>
        <dsp:cNvSpPr/>
      </dsp:nvSpPr>
      <dsp:spPr>
        <a:xfrm>
          <a:off x="1585420" y="566871"/>
          <a:ext cx="1380266" cy="259200"/>
        </a:xfrm>
        <a:custGeom>
          <a:avLst/>
          <a:gdLst/>
          <a:ahLst/>
          <a:cxnLst/>
          <a:rect l="0" t="0" r="0" b="0"/>
          <a:pathLst>
            <a:path>
              <a:moveTo>
                <a:pt x="1380266" y="0"/>
              </a:moveTo>
              <a:lnTo>
                <a:pt x="1380266" y="176637"/>
              </a:lnTo>
              <a:lnTo>
                <a:pt x="0" y="176637"/>
              </a:lnTo>
              <a:lnTo>
                <a:pt x="0" y="259200"/>
              </a:lnTo>
            </a:path>
          </a:pathLst>
        </a:custGeom>
        <a:noFill/>
        <a:ln w="25400" cap="flat" cmpd="sng" algn="ctr">
          <a:solidFill>
            <a:srgbClr val="4BACC6">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01DA0069-16DF-4BFD-99DD-A0061BBB318A}">
      <dsp:nvSpPr>
        <dsp:cNvPr id="0" name=""/>
        <dsp:cNvSpPr/>
      </dsp:nvSpPr>
      <dsp:spPr>
        <a:xfrm>
          <a:off x="2520069" y="937"/>
          <a:ext cx="891234" cy="565934"/>
        </a:xfrm>
        <a:prstGeom prst="roundRect">
          <a:avLst>
            <a:gd name="adj" fmla="val 10000"/>
          </a:avLst>
        </a:prstGeom>
        <a:solidFill>
          <a:srgbClr val="9BBB59">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C1189F29-10F9-4B9A-A7BF-5E66B50C008F}">
      <dsp:nvSpPr>
        <dsp:cNvPr id="0" name=""/>
        <dsp:cNvSpPr/>
      </dsp:nvSpPr>
      <dsp:spPr>
        <a:xfrm>
          <a:off x="2619095" y="95011"/>
          <a:ext cx="891234" cy="565934"/>
        </a:xfrm>
        <a:prstGeom prst="roundRect">
          <a:avLst>
            <a:gd name="adj" fmla="val 1000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Times New Roman" pitchFamily="18" charset="0"/>
              <a:ea typeface="+mn-ea"/>
              <a:cs typeface="Times New Roman" pitchFamily="18" charset="0"/>
            </a:rPr>
            <a:t>Green Banking Activites </a:t>
          </a:r>
        </a:p>
      </dsp:txBody>
      <dsp:txXfrm>
        <a:off x="2635671" y="111587"/>
        <a:ext cx="858082" cy="532782"/>
      </dsp:txXfrm>
    </dsp:sp>
    <dsp:sp modelId="{731C5455-0F4E-4503-9EB2-AA2FE50E8BCA}">
      <dsp:nvSpPr>
        <dsp:cNvPr id="0" name=""/>
        <dsp:cNvSpPr/>
      </dsp:nvSpPr>
      <dsp:spPr>
        <a:xfrm>
          <a:off x="1028149" y="826072"/>
          <a:ext cx="1114542" cy="565934"/>
        </a:xfrm>
        <a:prstGeom prst="roundRect">
          <a:avLst>
            <a:gd name="adj" fmla="val 10000"/>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C408B21B-59FA-4FD1-8CBB-B3D72869D36B}">
      <dsp:nvSpPr>
        <dsp:cNvPr id="0" name=""/>
        <dsp:cNvSpPr/>
      </dsp:nvSpPr>
      <dsp:spPr>
        <a:xfrm>
          <a:off x="1127175" y="920146"/>
          <a:ext cx="1114542" cy="565934"/>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Times New Roman" pitchFamily="18" charset="0"/>
              <a:ea typeface="+mn-ea"/>
              <a:cs typeface="Times New Roman" pitchFamily="18" charset="0"/>
            </a:rPr>
            <a:t>BB's Green Banking Initiatives</a:t>
          </a:r>
        </a:p>
      </dsp:txBody>
      <dsp:txXfrm>
        <a:off x="1143751" y="936722"/>
        <a:ext cx="1081390" cy="532782"/>
      </dsp:txXfrm>
    </dsp:sp>
    <dsp:sp modelId="{98E67FAC-4096-44B8-85CD-E3A2C0C93B9D}">
      <dsp:nvSpPr>
        <dsp:cNvPr id="0" name=""/>
        <dsp:cNvSpPr/>
      </dsp:nvSpPr>
      <dsp:spPr>
        <a:xfrm>
          <a:off x="382689" y="1651206"/>
          <a:ext cx="1045454" cy="565934"/>
        </a:xfrm>
        <a:prstGeom prst="roundRect">
          <a:avLst>
            <a:gd name="adj" fmla="val 10000"/>
          </a:avLst>
        </a:prstGeom>
        <a:solidFill>
          <a:srgbClr val="F7964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477E7C4C-911B-4955-9877-34CE06979D0D}">
      <dsp:nvSpPr>
        <dsp:cNvPr id="0" name=""/>
        <dsp:cNvSpPr/>
      </dsp:nvSpPr>
      <dsp:spPr>
        <a:xfrm>
          <a:off x="481715" y="1745281"/>
          <a:ext cx="1045454" cy="565934"/>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Times New Roman" pitchFamily="18" charset="0"/>
              <a:ea typeface="+mn-ea"/>
              <a:cs typeface="Times New Roman" pitchFamily="18" charset="0"/>
            </a:rPr>
            <a:t>BB's In-house Green Activities</a:t>
          </a:r>
        </a:p>
      </dsp:txBody>
      <dsp:txXfrm>
        <a:off x="498291" y="1761857"/>
        <a:ext cx="1012302" cy="532782"/>
      </dsp:txXfrm>
    </dsp:sp>
    <dsp:sp modelId="{82EC6250-AD2F-4540-9195-B12D74FA9BC1}">
      <dsp:nvSpPr>
        <dsp:cNvPr id="0" name=""/>
        <dsp:cNvSpPr/>
      </dsp:nvSpPr>
      <dsp:spPr>
        <a:xfrm>
          <a:off x="1626195" y="1651206"/>
          <a:ext cx="1161956" cy="565934"/>
        </a:xfrm>
        <a:prstGeom prst="roundRect">
          <a:avLst>
            <a:gd name="adj" fmla="val 10000"/>
          </a:avLst>
        </a:prstGeom>
        <a:solidFill>
          <a:srgbClr val="F7964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98EAAB52-8125-421C-A807-972A636EC36D}">
      <dsp:nvSpPr>
        <dsp:cNvPr id="0" name=""/>
        <dsp:cNvSpPr/>
      </dsp:nvSpPr>
      <dsp:spPr>
        <a:xfrm>
          <a:off x="1725221" y="1745281"/>
          <a:ext cx="1161956" cy="565934"/>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BB's Non-in-house Operations</a:t>
          </a:r>
        </a:p>
      </dsp:txBody>
      <dsp:txXfrm>
        <a:off x="1741797" y="1761857"/>
        <a:ext cx="1128804" cy="532782"/>
      </dsp:txXfrm>
    </dsp:sp>
    <dsp:sp modelId="{9A701929-5571-4DE7-AE20-54E796EBEDD0}">
      <dsp:nvSpPr>
        <dsp:cNvPr id="0" name=""/>
        <dsp:cNvSpPr/>
      </dsp:nvSpPr>
      <dsp:spPr>
        <a:xfrm>
          <a:off x="3746883" y="826072"/>
          <a:ext cx="1156341" cy="532142"/>
        </a:xfrm>
        <a:prstGeom prst="roundRect">
          <a:avLst>
            <a:gd name="adj" fmla="val 10000"/>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2D298C0-9D07-4A56-84F7-186F64F6A7AA}">
      <dsp:nvSpPr>
        <dsp:cNvPr id="0" name=""/>
        <dsp:cNvSpPr/>
      </dsp:nvSpPr>
      <dsp:spPr>
        <a:xfrm>
          <a:off x="3845909" y="920146"/>
          <a:ext cx="1156341" cy="532142"/>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Times New Roman" pitchFamily="18" charset="0"/>
              <a:ea typeface="+mn-ea"/>
              <a:cs typeface="Times New Roman" pitchFamily="18" charset="0"/>
            </a:rPr>
            <a:t>Bank's Green Banking Activities</a:t>
          </a:r>
        </a:p>
      </dsp:txBody>
      <dsp:txXfrm>
        <a:off x="3861495" y="935732"/>
        <a:ext cx="1125169" cy="500970"/>
      </dsp:txXfrm>
    </dsp:sp>
    <dsp:sp modelId="{61C286D8-60BB-4DEC-8502-837EC52F425A}">
      <dsp:nvSpPr>
        <dsp:cNvPr id="0" name=""/>
        <dsp:cNvSpPr/>
      </dsp:nvSpPr>
      <dsp:spPr>
        <a:xfrm>
          <a:off x="2986204" y="1617415"/>
          <a:ext cx="1040614" cy="565934"/>
        </a:xfrm>
        <a:prstGeom prst="roundRect">
          <a:avLst>
            <a:gd name="adj" fmla="val 10000"/>
          </a:avLst>
        </a:prstGeom>
        <a:solidFill>
          <a:srgbClr val="F7964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53EFE8C5-803A-478B-8EDA-ABB5BCD88E48}">
      <dsp:nvSpPr>
        <dsp:cNvPr id="0" name=""/>
        <dsp:cNvSpPr/>
      </dsp:nvSpPr>
      <dsp:spPr>
        <a:xfrm>
          <a:off x="3085230" y="1711489"/>
          <a:ext cx="1040614" cy="565934"/>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Bank's In-house Green Activities</a:t>
          </a:r>
        </a:p>
      </dsp:txBody>
      <dsp:txXfrm>
        <a:off x="3101806" y="1728065"/>
        <a:ext cx="1007462" cy="532782"/>
      </dsp:txXfrm>
    </dsp:sp>
    <dsp:sp modelId="{46A0FC18-0763-4576-83C3-8D7A52AB0700}">
      <dsp:nvSpPr>
        <dsp:cNvPr id="0" name=""/>
        <dsp:cNvSpPr/>
      </dsp:nvSpPr>
      <dsp:spPr>
        <a:xfrm>
          <a:off x="4224871" y="1617415"/>
          <a:ext cx="1439032" cy="565934"/>
        </a:xfrm>
        <a:prstGeom prst="roundRect">
          <a:avLst>
            <a:gd name="adj" fmla="val 10000"/>
          </a:avLst>
        </a:prstGeom>
        <a:solidFill>
          <a:srgbClr val="F7964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3D2F891-04B0-4985-B8C6-FB6399CC4026}">
      <dsp:nvSpPr>
        <dsp:cNvPr id="0" name=""/>
        <dsp:cNvSpPr/>
      </dsp:nvSpPr>
      <dsp:spPr>
        <a:xfrm>
          <a:off x="4323897" y="1711489"/>
          <a:ext cx="1439032" cy="565934"/>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Bank's Green Activities other than In-house</a:t>
          </a:r>
        </a:p>
      </dsp:txBody>
      <dsp:txXfrm>
        <a:off x="4340473" y="1728065"/>
        <a:ext cx="1405880" cy="5327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4F7A3C-2917-420D-8B7E-1EDA58D37879}">
      <dsp:nvSpPr>
        <dsp:cNvPr id="0" name=""/>
        <dsp:cNvSpPr/>
      </dsp:nvSpPr>
      <dsp:spPr>
        <a:xfrm>
          <a:off x="2633673" y="1047913"/>
          <a:ext cx="878271" cy="878271"/>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BB's Initiative</a:t>
          </a:r>
        </a:p>
      </dsp:txBody>
      <dsp:txXfrm>
        <a:off x="2762293" y="1176533"/>
        <a:ext cx="621031" cy="621031"/>
      </dsp:txXfrm>
    </dsp:sp>
    <dsp:sp modelId="{1FE6859B-606A-473A-944B-F1E739A40AE0}">
      <dsp:nvSpPr>
        <dsp:cNvPr id="0" name=""/>
        <dsp:cNvSpPr/>
      </dsp:nvSpPr>
      <dsp:spPr>
        <a:xfrm rot="12900000">
          <a:off x="2067523" y="894095"/>
          <a:ext cx="674396" cy="250307"/>
        </a:xfrm>
        <a:prstGeom prst="leftArrow">
          <a:avLst>
            <a:gd name="adj1" fmla="val 60000"/>
            <a:gd name="adj2" fmla="val 5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F09B18F-409E-48B3-8670-D50AE9AA2A64}">
      <dsp:nvSpPr>
        <dsp:cNvPr id="0" name=""/>
        <dsp:cNvSpPr/>
      </dsp:nvSpPr>
      <dsp:spPr>
        <a:xfrm>
          <a:off x="1711326" y="492097"/>
          <a:ext cx="834357" cy="66748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Times New Roman" pitchFamily="18" charset="0"/>
              <a:ea typeface="+mn-ea"/>
              <a:cs typeface="Times New Roman" pitchFamily="18" charset="0"/>
            </a:rPr>
            <a:t>Policy Support</a:t>
          </a:r>
        </a:p>
      </dsp:txBody>
      <dsp:txXfrm>
        <a:off x="1730876" y="511647"/>
        <a:ext cx="795257" cy="628386"/>
      </dsp:txXfrm>
    </dsp:sp>
    <dsp:sp modelId="{5909BCF2-6365-4568-B4A3-619DF320ED7A}">
      <dsp:nvSpPr>
        <dsp:cNvPr id="0" name=""/>
        <dsp:cNvSpPr/>
      </dsp:nvSpPr>
      <dsp:spPr>
        <a:xfrm rot="16200000">
          <a:off x="2735611" y="546311"/>
          <a:ext cx="674396" cy="250307"/>
        </a:xfrm>
        <a:prstGeom prst="leftArrow">
          <a:avLst>
            <a:gd name="adj1" fmla="val 60000"/>
            <a:gd name="adj2" fmla="val 50000"/>
          </a:avLst>
        </a:prstGeom>
        <a:gradFill rotWithShape="0">
          <a:gsLst>
            <a:gs pos="0">
              <a:srgbClr val="C0504D">
                <a:hueOff val="2340759"/>
                <a:satOff val="-2919"/>
                <a:lumOff val="686"/>
                <a:alphaOff val="0"/>
                <a:shade val="51000"/>
                <a:satMod val="130000"/>
              </a:srgbClr>
            </a:gs>
            <a:gs pos="80000">
              <a:srgbClr val="C0504D">
                <a:hueOff val="2340759"/>
                <a:satOff val="-2919"/>
                <a:lumOff val="686"/>
                <a:alphaOff val="0"/>
                <a:shade val="93000"/>
                <a:satMod val="130000"/>
              </a:srgbClr>
            </a:gs>
            <a:gs pos="100000">
              <a:srgbClr val="C0504D">
                <a:hueOff val="2340759"/>
                <a:satOff val="-2919"/>
                <a:lumOff val="686"/>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F36E437-FEA4-4FA0-AA54-B3021A678203}">
      <dsp:nvSpPr>
        <dsp:cNvPr id="0" name=""/>
        <dsp:cNvSpPr/>
      </dsp:nvSpPr>
      <dsp:spPr>
        <a:xfrm>
          <a:off x="2655630" y="523"/>
          <a:ext cx="834357" cy="667486"/>
        </a:xfrm>
        <a:prstGeom prst="roundRect">
          <a:avLst>
            <a:gd name="adj" fmla="val 10000"/>
          </a:avLst>
        </a:prstGeom>
        <a:gradFill rotWithShape="0">
          <a:gsLst>
            <a:gs pos="0">
              <a:srgbClr val="C0504D">
                <a:hueOff val="2340759"/>
                <a:satOff val="-2919"/>
                <a:lumOff val="686"/>
                <a:alphaOff val="0"/>
                <a:shade val="51000"/>
                <a:satMod val="130000"/>
              </a:srgbClr>
            </a:gs>
            <a:gs pos="80000">
              <a:srgbClr val="C0504D">
                <a:hueOff val="2340759"/>
                <a:satOff val="-2919"/>
                <a:lumOff val="686"/>
                <a:alphaOff val="0"/>
                <a:shade val="93000"/>
                <a:satMod val="130000"/>
              </a:srgbClr>
            </a:gs>
            <a:gs pos="100000">
              <a:srgbClr val="C0504D">
                <a:hueOff val="2340759"/>
                <a:satOff val="-2919"/>
                <a:lumOff val="686"/>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Times New Roman" pitchFamily="18" charset="0"/>
              <a:ea typeface="+mn-ea"/>
              <a:cs typeface="Times New Roman" pitchFamily="18" charset="0"/>
            </a:rPr>
            <a:t>Refinance Line</a:t>
          </a:r>
        </a:p>
      </dsp:txBody>
      <dsp:txXfrm>
        <a:off x="2675180" y="20073"/>
        <a:ext cx="795257" cy="628386"/>
      </dsp:txXfrm>
    </dsp:sp>
    <dsp:sp modelId="{D8253ED9-E455-4097-A863-21C298C935DD}">
      <dsp:nvSpPr>
        <dsp:cNvPr id="0" name=""/>
        <dsp:cNvSpPr/>
      </dsp:nvSpPr>
      <dsp:spPr>
        <a:xfrm rot="19500000">
          <a:off x="3403698" y="894095"/>
          <a:ext cx="674396" cy="250307"/>
        </a:xfrm>
        <a:prstGeom prst="leftArrow">
          <a:avLst>
            <a:gd name="adj1" fmla="val 60000"/>
            <a:gd name="adj2" fmla="val 50000"/>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406FFC2-5CE8-4415-BF71-4C1E99B6F4C5}">
      <dsp:nvSpPr>
        <dsp:cNvPr id="0" name=""/>
        <dsp:cNvSpPr/>
      </dsp:nvSpPr>
      <dsp:spPr>
        <a:xfrm>
          <a:off x="3599935" y="492097"/>
          <a:ext cx="834357" cy="667486"/>
        </a:xfrm>
        <a:prstGeom prst="roundRect">
          <a:avLst>
            <a:gd name="adj" fmla="val 10000"/>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Times New Roman" pitchFamily="18" charset="0"/>
              <a:ea typeface="+mn-ea"/>
              <a:cs typeface="Times New Roman" pitchFamily="18" charset="0"/>
            </a:rPr>
            <a:t>In-house Greeen Activities</a:t>
          </a:r>
        </a:p>
      </dsp:txBody>
      <dsp:txXfrm>
        <a:off x="3619485" y="511647"/>
        <a:ext cx="795257" cy="6283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4AD33D-66B0-4202-AD94-91C7F2791ABE}">
      <dsp:nvSpPr>
        <dsp:cNvPr id="0" name=""/>
        <dsp:cNvSpPr/>
      </dsp:nvSpPr>
      <dsp:spPr>
        <a:xfrm>
          <a:off x="1516377" y="1790700"/>
          <a:ext cx="670559" cy="588952"/>
        </a:xfrm>
        <a:prstGeom prst="roundRect">
          <a:avLst>
            <a:gd name="adj" fmla="val 10000"/>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dsp:spPr>
      <dsp:style>
        <a:lnRef idx="1">
          <a:schemeClr val="accent3"/>
        </a:lnRef>
        <a:fillRef idx="3">
          <a:schemeClr val="accent3"/>
        </a:fillRef>
        <a:effectRef idx="2">
          <a:schemeClr val="accent3"/>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Green Finance</a:t>
          </a:r>
        </a:p>
      </dsp:txBody>
      <dsp:txXfrm>
        <a:off x="1533627" y="1807950"/>
        <a:ext cx="636059" cy="554452"/>
      </dsp:txXfrm>
    </dsp:sp>
    <dsp:sp modelId="{41ABA384-9CCE-4FB5-AC36-FC87AB714F4D}">
      <dsp:nvSpPr>
        <dsp:cNvPr id="0" name=""/>
        <dsp:cNvSpPr/>
      </dsp:nvSpPr>
      <dsp:spPr>
        <a:xfrm rot="17665536">
          <a:off x="1942413" y="1695905"/>
          <a:ext cx="833854" cy="19317"/>
        </a:xfrm>
        <a:custGeom>
          <a:avLst/>
          <a:gdLst/>
          <a:ahLst/>
          <a:cxnLst/>
          <a:rect l="0" t="0" r="0" b="0"/>
          <a:pathLst>
            <a:path>
              <a:moveTo>
                <a:pt x="0" y="9932"/>
              </a:moveTo>
              <a:lnTo>
                <a:pt x="945526" y="9932"/>
              </a:lnTo>
            </a:path>
          </a:pathLst>
        </a:custGeom>
        <a:noFill/>
        <a:ln w="9525" cap="flat" cmpd="sng" algn="ctr">
          <a:solidFill>
            <a:srgbClr val="8064A2">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338494" y="1684718"/>
        <a:ext cx="41692" cy="41692"/>
      </dsp:txXfrm>
    </dsp:sp>
    <dsp:sp modelId="{875EACB6-A206-4BAA-876E-CA251BE67D5A}">
      <dsp:nvSpPr>
        <dsp:cNvPr id="0" name=""/>
        <dsp:cNvSpPr/>
      </dsp:nvSpPr>
      <dsp:spPr>
        <a:xfrm>
          <a:off x="2531745" y="1047750"/>
          <a:ext cx="670559" cy="556403"/>
        </a:xfrm>
        <a:prstGeom prst="roundRect">
          <a:avLst>
            <a:gd name="adj" fmla="val 10000"/>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solidFill>
                <a:sysClr val="window" lastClr="FFFFFF"/>
              </a:solidFill>
              <a:latin typeface="Times New Roman" pitchFamily="18" charset="0"/>
              <a:ea typeface="+mn-ea"/>
              <a:cs typeface="Times New Roman" pitchFamily="18" charset="0"/>
            </a:rPr>
            <a:t>Direct Green Finance </a:t>
          </a:r>
        </a:p>
      </dsp:txBody>
      <dsp:txXfrm>
        <a:off x="2548041" y="1064046"/>
        <a:ext cx="637967" cy="523811"/>
      </dsp:txXfrm>
    </dsp:sp>
    <dsp:sp modelId="{F8730C99-67C6-4268-B4D5-12391EAA903E}">
      <dsp:nvSpPr>
        <dsp:cNvPr id="0" name=""/>
        <dsp:cNvSpPr/>
      </dsp:nvSpPr>
      <dsp:spPr>
        <a:xfrm rot="16983315">
          <a:off x="2742713" y="737936"/>
          <a:ext cx="1187406" cy="19317"/>
        </a:xfrm>
        <a:custGeom>
          <a:avLst/>
          <a:gdLst/>
          <a:ahLst/>
          <a:cxnLst/>
          <a:rect l="0" t="0" r="0" b="0"/>
          <a:pathLst>
            <a:path>
              <a:moveTo>
                <a:pt x="0" y="9932"/>
              </a:moveTo>
              <a:lnTo>
                <a:pt x="1329105" y="993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306731" y="717909"/>
        <a:ext cx="59370" cy="59370"/>
      </dsp:txXfrm>
    </dsp:sp>
    <dsp:sp modelId="{8690B5A7-0A8E-497D-8E5D-0E3F4D7FE6F2}">
      <dsp:nvSpPr>
        <dsp:cNvPr id="0" name=""/>
        <dsp:cNvSpPr/>
      </dsp:nvSpPr>
      <dsp:spPr>
        <a:xfrm>
          <a:off x="3470528" y="1597"/>
          <a:ext cx="670559" cy="335279"/>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Installation of ETP</a:t>
          </a:r>
        </a:p>
      </dsp:txBody>
      <dsp:txXfrm>
        <a:off x="3480348" y="11417"/>
        <a:ext cx="650919" cy="315639"/>
      </dsp:txXfrm>
    </dsp:sp>
    <dsp:sp modelId="{0F0B5460-3925-4D82-81FC-AAD35D47FFAE}">
      <dsp:nvSpPr>
        <dsp:cNvPr id="0" name=""/>
        <dsp:cNvSpPr/>
      </dsp:nvSpPr>
      <dsp:spPr>
        <a:xfrm rot="17350740">
          <a:off x="2928186" y="930722"/>
          <a:ext cx="816459" cy="19317"/>
        </a:xfrm>
        <a:custGeom>
          <a:avLst/>
          <a:gdLst/>
          <a:ahLst/>
          <a:cxnLst/>
          <a:rect l="0" t="0" r="0" b="0"/>
          <a:pathLst>
            <a:path>
              <a:moveTo>
                <a:pt x="0" y="9932"/>
              </a:moveTo>
              <a:lnTo>
                <a:pt x="913891" y="993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316005" y="919969"/>
        <a:ext cx="40822" cy="40822"/>
      </dsp:txXfrm>
    </dsp:sp>
    <dsp:sp modelId="{6B102485-ACD1-48A4-B96C-C5B8038FA330}">
      <dsp:nvSpPr>
        <dsp:cNvPr id="0" name=""/>
        <dsp:cNvSpPr/>
      </dsp:nvSpPr>
      <dsp:spPr>
        <a:xfrm>
          <a:off x="3470528" y="387169"/>
          <a:ext cx="670559" cy="335279"/>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Bio-gas Plant</a:t>
          </a:r>
        </a:p>
      </dsp:txBody>
      <dsp:txXfrm>
        <a:off x="3480348" y="396989"/>
        <a:ext cx="650919" cy="315639"/>
      </dsp:txXfrm>
    </dsp:sp>
    <dsp:sp modelId="{F26C5195-2D18-4C71-B2BA-A9610E907ADA}">
      <dsp:nvSpPr>
        <dsp:cNvPr id="0" name=""/>
        <dsp:cNvSpPr/>
      </dsp:nvSpPr>
      <dsp:spPr>
        <a:xfrm rot="18289469">
          <a:off x="3101571" y="1123508"/>
          <a:ext cx="469690" cy="19317"/>
        </a:xfrm>
        <a:custGeom>
          <a:avLst/>
          <a:gdLst/>
          <a:ahLst/>
          <a:cxnLst/>
          <a:rect l="0" t="0" r="0" b="0"/>
          <a:pathLst>
            <a:path>
              <a:moveTo>
                <a:pt x="0" y="9932"/>
              </a:moveTo>
              <a:lnTo>
                <a:pt x="525741" y="993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324674" y="1121424"/>
        <a:ext cx="23484" cy="23484"/>
      </dsp:txXfrm>
    </dsp:sp>
    <dsp:sp modelId="{AAB2E39A-9380-41F0-8E06-D1E0F3B68D18}">
      <dsp:nvSpPr>
        <dsp:cNvPr id="0" name=""/>
        <dsp:cNvSpPr/>
      </dsp:nvSpPr>
      <dsp:spPr>
        <a:xfrm>
          <a:off x="3470528" y="772740"/>
          <a:ext cx="670559" cy="335279"/>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Solar Panel/ Renewable Energy Plant</a:t>
          </a:r>
        </a:p>
      </dsp:txBody>
      <dsp:txXfrm>
        <a:off x="3480348" y="782560"/>
        <a:ext cx="650919" cy="315639"/>
      </dsp:txXfrm>
    </dsp:sp>
    <dsp:sp modelId="{F7B049B2-BDD6-4B05-9E03-BDF03E6203F0}">
      <dsp:nvSpPr>
        <dsp:cNvPr id="0" name=""/>
        <dsp:cNvSpPr/>
      </dsp:nvSpPr>
      <dsp:spPr>
        <a:xfrm>
          <a:off x="3202304" y="1316293"/>
          <a:ext cx="268223" cy="19317"/>
        </a:xfrm>
        <a:custGeom>
          <a:avLst/>
          <a:gdLst/>
          <a:ahLst/>
          <a:cxnLst/>
          <a:rect l="0" t="0" r="0" b="0"/>
          <a:pathLst>
            <a:path>
              <a:moveTo>
                <a:pt x="0" y="9932"/>
              </a:moveTo>
              <a:lnTo>
                <a:pt x="300232" y="993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329710" y="1319246"/>
        <a:ext cx="13411" cy="13411"/>
      </dsp:txXfrm>
    </dsp:sp>
    <dsp:sp modelId="{712E9835-9651-4688-AF09-4C340A578B34}">
      <dsp:nvSpPr>
        <dsp:cNvPr id="0" name=""/>
        <dsp:cNvSpPr/>
      </dsp:nvSpPr>
      <dsp:spPr>
        <a:xfrm>
          <a:off x="3470528" y="1158312"/>
          <a:ext cx="670559" cy="335279"/>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Bio-fertilizer</a:t>
          </a:r>
          <a:r>
            <a:rPr lang="en-US" sz="800" kern="1200" baseline="0">
              <a:solidFill>
                <a:sysClr val="window" lastClr="FFFFFF"/>
              </a:solidFill>
              <a:latin typeface="Times New Roman" pitchFamily="18" charset="0"/>
              <a:ea typeface="+mn-ea"/>
              <a:cs typeface="Times New Roman" pitchFamily="18" charset="0"/>
            </a:rPr>
            <a:t> Plant</a:t>
          </a:r>
          <a:endParaRPr lang="en-US" sz="800" kern="1200">
            <a:solidFill>
              <a:sysClr val="window" lastClr="FFFFFF"/>
            </a:solidFill>
            <a:latin typeface="Times New Roman" pitchFamily="18" charset="0"/>
            <a:ea typeface="+mn-ea"/>
            <a:cs typeface="Times New Roman" pitchFamily="18" charset="0"/>
          </a:endParaRPr>
        </a:p>
      </dsp:txBody>
      <dsp:txXfrm>
        <a:off x="3480348" y="1168132"/>
        <a:ext cx="650919" cy="315639"/>
      </dsp:txXfrm>
    </dsp:sp>
    <dsp:sp modelId="{61E4DB06-D971-4B95-9723-C90D9F87CAE4}">
      <dsp:nvSpPr>
        <dsp:cNvPr id="0" name=""/>
        <dsp:cNvSpPr/>
      </dsp:nvSpPr>
      <dsp:spPr>
        <a:xfrm rot="3310531">
          <a:off x="3101571" y="1509079"/>
          <a:ext cx="469690" cy="19317"/>
        </a:xfrm>
        <a:custGeom>
          <a:avLst/>
          <a:gdLst/>
          <a:ahLst/>
          <a:cxnLst/>
          <a:rect l="0" t="0" r="0" b="0"/>
          <a:pathLst>
            <a:path>
              <a:moveTo>
                <a:pt x="0" y="9932"/>
              </a:moveTo>
              <a:lnTo>
                <a:pt x="525741" y="993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324674" y="1506996"/>
        <a:ext cx="23484" cy="23484"/>
      </dsp:txXfrm>
    </dsp:sp>
    <dsp:sp modelId="{C13EAC54-D968-4DC1-9B83-57F9538DA570}">
      <dsp:nvSpPr>
        <dsp:cNvPr id="0" name=""/>
        <dsp:cNvSpPr/>
      </dsp:nvSpPr>
      <dsp:spPr>
        <a:xfrm>
          <a:off x="3470528" y="1543884"/>
          <a:ext cx="670559" cy="335279"/>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Hybrid Hoffman Klin (HHK)</a:t>
          </a:r>
        </a:p>
      </dsp:txBody>
      <dsp:txXfrm>
        <a:off x="3480348" y="1553704"/>
        <a:ext cx="650919" cy="315639"/>
      </dsp:txXfrm>
    </dsp:sp>
    <dsp:sp modelId="{230F65A2-D57E-4612-9B65-8F65CA6DBE82}">
      <dsp:nvSpPr>
        <dsp:cNvPr id="0" name=""/>
        <dsp:cNvSpPr/>
      </dsp:nvSpPr>
      <dsp:spPr>
        <a:xfrm rot="4249260">
          <a:off x="2928186" y="1701865"/>
          <a:ext cx="816459" cy="19317"/>
        </a:xfrm>
        <a:custGeom>
          <a:avLst/>
          <a:gdLst/>
          <a:ahLst/>
          <a:cxnLst/>
          <a:rect l="0" t="0" r="0" b="0"/>
          <a:pathLst>
            <a:path>
              <a:moveTo>
                <a:pt x="0" y="9932"/>
              </a:moveTo>
              <a:lnTo>
                <a:pt x="913891" y="993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316005" y="1691112"/>
        <a:ext cx="40822" cy="40822"/>
      </dsp:txXfrm>
    </dsp:sp>
    <dsp:sp modelId="{2EE5A8F5-4661-45F7-BAA0-5C9996400B8D}">
      <dsp:nvSpPr>
        <dsp:cNvPr id="0" name=""/>
        <dsp:cNvSpPr/>
      </dsp:nvSpPr>
      <dsp:spPr>
        <a:xfrm>
          <a:off x="3470528" y="1929455"/>
          <a:ext cx="670559" cy="335279"/>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Others </a:t>
          </a:r>
        </a:p>
      </dsp:txBody>
      <dsp:txXfrm>
        <a:off x="3480348" y="1939275"/>
        <a:ext cx="650919" cy="315639"/>
      </dsp:txXfrm>
    </dsp:sp>
    <dsp:sp modelId="{F21F804E-39A1-46AF-B98A-245FF50C27B4}">
      <dsp:nvSpPr>
        <dsp:cNvPr id="0" name=""/>
        <dsp:cNvSpPr/>
      </dsp:nvSpPr>
      <dsp:spPr>
        <a:xfrm rot="4616685">
          <a:off x="2742713" y="1894651"/>
          <a:ext cx="1187406" cy="19317"/>
        </a:xfrm>
        <a:custGeom>
          <a:avLst/>
          <a:gdLst/>
          <a:ahLst/>
          <a:cxnLst/>
          <a:rect l="0" t="0" r="0" b="0"/>
          <a:pathLst>
            <a:path>
              <a:moveTo>
                <a:pt x="0" y="9932"/>
              </a:moveTo>
              <a:lnTo>
                <a:pt x="1329105" y="993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306731" y="1874624"/>
        <a:ext cx="59370" cy="59370"/>
      </dsp:txXfrm>
    </dsp:sp>
    <dsp:sp modelId="{AAC2EAD8-FE60-4CF8-B5CA-B214FD24E159}">
      <dsp:nvSpPr>
        <dsp:cNvPr id="0" name=""/>
        <dsp:cNvSpPr/>
      </dsp:nvSpPr>
      <dsp:spPr>
        <a:xfrm>
          <a:off x="3470528" y="2315027"/>
          <a:ext cx="670559" cy="335279"/>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Green Finance at Reduce rate of Interest</a:t>
          </a:r>
        </a:p>
      </dsp:txBody>
      <dsp:txXfrm>
        <a:off x="3480348" y="2324847"/>
        <a:ext cx="650919" cy="315639"/>
      </dsp:txXfrm>
    </dsp:sp>
    <dsp:sp modelId="{85400A0A-99FC-4145-8A4E-A685EA2FAEA2}">
      <dsp:nvSpPr>
        <dsp:cNvPr id="0" name=""/>
        <dsp:cNvSpPr/>
      </dsp:nvSpPr>
      <dsp:spPr>
        <a:xfrm rot="3974071">
          <a:off x="1931532" y="2467049"/>
          <a:ext cx="855616" cy="19317"/>
        </a:xfrm>
        <a:custGeom>
          <a:avLst/>
          <a:gdLst/>
          <a:ahLst/>
          <a:cxnLst/>
          <a:rect l="0" t="0" r="0" b="0"/>
          <a:pathLst>
            <a:path>
              <a:moveTo>
                <a:pt x="0" y="9932"/>
              </a:moveTo>
              <a:lnTo>
                <a:pt x="945526" y="9932"/>
              </a:lnTo>
            </a:path>
          </a:pathLst>
        </a:custGeom>
        <a:noFill/>
        <a:ln w="9525" cap="flat" cmpd="sng" algn="ctr">
          <a:solidFill>
            <a:srgbClr val="8064A2">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337950" y="2455317"/>
        <a:ext cx="42780" cy="42780"/>
      </dsp:txXfrm>
    </dsp:sp>
    <dsp:sp modelId="{11669BC3-7088-4748-892F-DC6D5BA113B2}">
      <dsp:nvSpPr>
        <dsp:cNvPr id="0" name=""/>
        <dsp:cNvSpPr/>
      </dsp:nvSpPr>
      <dsp:spPr>
        <a:xfrm>
          <a:off x="2531745" y="2613875"/>
          <a:ext cx="670559" cy="508726"/>
        </a:xfrm>
        <a:prstGeom prst="roundRect">
          <a:avLst>
            <a:gd name="adj" fmla="val 10000"/>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solidFill>
                <a:sysClr val="window" lastClr="FFFFFF"/>
              </a:solidFill>
              <a:latin typeface="Times New Roman" pitchFamily="18" charset="0"/>
              <a:ea typeface="+mn-ea"/>
              <a:cs typeface="Times New Roman" pitchFamily="18" charset="0"/>
            </a:rPr>
            <a:t>Indirect Green Finance </a:t>
          </a:r>
        </a:p>
      </dsp:txBody>
      <dsp:txXfrm>
        <a:off x="2546645" y="2628775"/>
        <a:ext cx="640759" cy="478926"/>
      </dsp:txXfrm>
    </dsp:sp>
    <dsp:sp modelId="{FCC17A86-635F-4569-A001-56280602F889}">
      <dsp:nvSpPr>
        <dsp:cNvPr id="0" name=""/>
        <dsp:cNvSpPr/>
      </dsp:nvSpPr>
      <dsp:spPr>
        <a:xfrm>
          <a:off x="3202304" y="2858580"/>
          <a:ext cx="268223" cy="19317"/>
        </a:xfrm>
        <a:custGeom>
          <a:avLst/>
          <a:gdLst/>
          <a:ahLst/>
          <a:cxnLst/>
          <a:rect l="0" t="0" r="0" b="0"/>
          <a:pathLst>
            <a:path>
              <a:moveTo>
                <a:pt x="0" y="9932"/>
              </a:moveTo>
              <a:lnTo>
                <a:pt x="300232" y="993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329710" y="2861533"/>
        <a:ext cx="13411" cy="13411"/>
      </dsp:txXfrm>
    </dsp:sp>
    <dsp:sp modelId="{983A5402-0C8B-439F-BF78-7CD8294A5FA1}">
      <dsp:nvSpPr>
        <dsp:cNvPr id="0" name=""/>
        <dsp:cNvSpPr/>
      </dsp:nvSpPr>
      <dsp:spPr>
        <a:xfrm>
          <a:off x="3470528" y="2700599"/>
          <a:ext cx="670559" cy="335279"/>
        </a:xfrm>
        <a:prstGeom prst="roundRect">
          <a:avLst>
            <a:gd name="adj" fmla="val 10000"/>
          </a:avLst>
        </a:prstGeom>
        <a:solidFill>
          <a:srgbClr val="C0504D"/>
        </a:solidFill>
        <a:ln w="25400" cap="flat" cmpd="sng" algn="ctr">
          <a:solidFill>
            <a:srgbClr val="C0504D">
              <a:shade val="50000"/>
            </a:srgbClr>
          </a:solidFill>
          <a:prstDash val="solid"/>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itchFamily="18" charset="0"/>
              <a:ea typeface="+mn-ea"/>
              <a:cs typeface="Times New Roman" pitchFamily="18" charset="0"/>
            </a:rPr>
            <a:t>Project Financed having ETP</a:t>
          </a:r>
        </a:p>
      </dsp:txBody>
      <dsp:txXfrm>
        <a:off x="3480348" y="2710419"/>
        <a:ext cx="650919" cy="31563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4AD33D-66B0-4202-AD94-91C7F2791ABE}">
      <dsp:nvSpPr>
        <dsp:cNvPr id="0" name=""/>
        <dsp:cNvSpPr/>
      </dsp:nvSpPr>
      <dsp:spPr>
        <a:xfrm>
          <a:off x="1407584" y="2159943"/>
          <a:ext cx="750580" cy="375290"/>
        </a:xfrm>
        <a:prstGeom prst="roundRect">
          <a:avLst>
            <a:gd name="adj" fmla="val 10000"/>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dsp:spPr>
      <dsp:style>
        <a:lnRef idx="1">
          <a:schemeClr val="accent3"/>
        </a:lnRef>
        <a:fillRef idx="3">
          <a:schemeClr val="accent3"/>
        </a:fillRef>
        <a:effectRef idx="2">
          <a:schemeClr val="accent3"/>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Green Finance</a:t>
          </a:r>
        </a:p>
      </dsp:txBody>
      <dsp:txXfrm>
        <a:off x="1418576" y="2170935"/>
        <a:ext cx="728596" cy="353306"/>
      </dsp:txXfrm>
    </dsp:sp>
    <dsp:sp modelId="{41ABA384-9CCE-4FB5-AC36-FC87AB714F4D}">
      <dsp:nvSpPr>
        <dsp:cNvPr id="0" name=""/>
        <dsp:cNvSpPr/>
      </dsp:nvSpPr>
      <dsp:spPr>
        <a:xfrm rot="17645477">
          <a:off x="1878380" y="1906071"/>
          <a:ext cx="945526" cy="19865"/>
        </a:xfrm>
        <a:custGeom>
          <a:avLst/>
          <a:gdLst/>
          <a:ahLst/>
          <a:cxnLst/>
          <a:rect l="0" t="0" r="0" b="0"/>
          <a:pathLst>
            <a:path>
              <a:moveTo>
                <a:pt x="0" y="9932"/>
              </a:moveTo>
              <a:lnTo>
                <a:pt x="945526" y="9932"/>
              </a:lnTo>
            </a:path>
          </a:pathLst>
        </a:custGeom>
        <a:noFill/>
        <a:ln w="9525" cap="flat" cmpd="sng" algn="ctr">
          <a:solidFill>
            <a:srgbClr val="8064A2">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327505" y="1892366"/>
        <a:ext cx="47276" cy="47276"/>
      </dsp:txXfrm>
    </dsp:sp>
    <dsp:sp modelId="{875EACB6-A206-4BAA-876E-CA251BE67D5A}">
      <dsp:nvSpPr>
        <dsp:cNvPr id="0" name=""/>
        <dsp:cNvSpPr/>
      </dsp:nvSpPr>
      <dsp:spPr>
        <a:xfrm>
          <a:off x="2544122" y="1296775"/>
          <a:ext cx="750580" cy="375290"/>
        </a:xfrm>
        <a:prstGeom prst="roundRect">
          <a:avLst>
            <a:gd name="adj" fmla="val 10000"/>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solidFill>
                <a:sysClr val="window" lastClr="FFFFFF"/>
              </a:solidFill>
              <a:latin typeface="Times New Roman" pitchFamily="18" charset="0"/>
              <a:ea typeface="+mn-ea"/>
              <a:cs typeface="Times New Roman" pitchFamily="18" charset="0"/>
            </a:rPr>
            <a:t>Direct Green Finance </a:t>
          </a:r>
        </a:p>
      </dsp:txBody>
      <dsp:txXfrm>
        <a:off x="2555114" y="1307767"/>
        <a:ext cx="728596" cy="353306"/>
      </dsp:txXfrm>
    </dsp:sp>
    <dsp:sp modelId="{F8730C99-67C6-4268-B4D5-12391EAA903E}">
      <dsp:nvSpPr>
        <dsp:cNvPr id="0" name=""/>
        <dsp:cNvSpPr/>
      </dsp:nvSpPr>
      <dsp:spPr>
        <a:xfrm rot="16983315">
          <a:off x="2780266" y="827111"/>
          <a:ext cx="1329105" cy="19865"/>
        </a:xfrm>
        <a:custGeom>
          <a:avLst/>
          <a:gdLst/>
          <a:ahLst/>
          <a:cxnLst/>
          <a:rect l="0" t="0" r="0" b="0"/>
          <a:pathLst>
            <a:path>
              <a:moveTo>
                <a:pt x="0" y="9932"/>
              </a:moveTo>
              <a:lnTo>
                <a:pt x="1329105" y="993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411591" y="803816"/>
        <a:ext cx="66455" cy="66455"/>
      </dsp:txXfrm>
    </dsp:sp>
    <dsp:sp modelId="{8690B5A7-0A8E-497D-8E5D-0E3F4D7FE6F2}">
      <dsp:nvSpPr>
        <dsp:cNvPr id="0" name=""/>
        <dsp:cNvSpPr/>
      </dsp:nvSpPr>
      <dsp:spPr>
        <a:xfrm>
          <a:off x="3594935" y="2023"/>
          <a:ext cx="750580" cy="375290"/>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Installation of ETP</a:t>
          </a:r>
        </a:p>
      </dsp:txBody>
      <dsp:txXfrm>
        <a:off x="3605927" y="13015"/>
        <a:ext cx="728596" cy="353306"/>
      </dsp:txXfrm>
    </dsp:sp>
    <dsp:sp modelId="{0F0B5460-3925-4D82-81FC-AAD35D47FFAE}">
      <dsp:nvSpPr>
        <dsp:cNvPr id="0" name=""/>
        <dsp:cNvSpPr/>
      </dsp:nvSpPr>
      <dsp:spPr>
        <a:xfrm rot="17350740">
          <a:off x="2987873" y="1042903"/>
          <a:ext cx="913891" cy="19865"/>
        </a:xfrm>
        <a:custGeom>
          <a:avLst/>
          <a:gdLst/>
          <a:ahLst/>
          <a:cxnLst/>
          <a:rect l="0" t="0" r="0" b="0"/>
          <a:pathLst>
            <a:path>
              <a:moveTo>
                <a:pt x="0" y="9932"/>
              </a:moveTo>
              <a:lnTo>
                <a:pt x="913891" y="993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421971" y="1029989"/>
        <a:ext cx="45694" cy="45694"/>
      </dsp:txXfrm>
    </dsp:sp>
    <dsp:sp modelId="{6B102485-ACD1-48A4-B96C-C5B8038FA330}">
      <dsp:nvSpPr>
        <dsp:cNvPr id="0" name=""/>
        <dsp:cNvSpPr/>
      </dsp:nvSpPr>
      <dsp:spPr>
        <a:xfrm>
          <a:off x="3594935" y="433607"/>
          <a:ext cx="750580" cy="375290"/>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Bio-gas Plant</a:t>
          </a:r>
        </a:p>
      </dsp:txBody>
      <dsp:txXfrm>
        <a:off x="3605927" y="444599"/>
        <a:ext cx="728596" cy="353306"/>
      </dsp:txXfrm>
    </dsp:sp>
    <dsp:sp modelId="{F26C5195-2D18-4C71-B2BA-A9610E907ADA}">
      <dsp:nvSpPr>
        <dsp:cNvPr id="0" name=""/>
        <dsp:cNvSpPr/>
      </dsp:nvSpPr>
      <dsp:spPr>
        <a:xfrm rot="18289469">
          <a:off x="3181948" y="1258695"/>
          <a:ext cx="525741" cy="19865"/>
        </a:xfrm>
        <a:custGeom>
          <a:avLst/>
          <a:gdLst/>
          <a:ahLst/>
          <a:cxnLst/>
          <a:rect l="0" t="0" r="0" b="0"/>
          <a:pathLst>
            <a:path>
              <a:moveTo>
                <a:pt x="0" y="9932"/>
              </a:moveTo>
              <a:lnTo>
                <a:pt x="525741" y="993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431675" y="1255484"/>
        <a:ext cx="26287" cy="26287"/>
      </dsp:txXfrm>
    </dsp:sp>
    <dsp:sp modelId="{AAB2E39A-9380-41F0-8E06-D1E0F3B68D18}">
      <dsp:nvSpPr>
        <dsp:cNvPr id="0" name=""/>
        <dsp:cNvSpPr/>
      </dsp:nvSpPr>
      <dsp:spPr>
        <a:xfrm>
          <a:off x="3594935" y="865191"/>
          <a:ext cx="750580" cy="375290"/>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Solar Panel/ Renewable Energy Plant</a:t>
          </a:r>
        </a:p>
      </dsp:txBody>
      <dsp:txXfrm>
        <a:off x="3605927" y="876183"/>
        <a:ext cx="728596" cy="353306"/>
      </dsp:txXfrm>
    </dsp:sp>
    <dsp:sp modelId="{F7B049B2-BDD6-4B05-9E03-BDF03E6203F0}">
      <dsp:nvSpPr>
        <dsp:cNvPr id="0" name=""/>
        <dsp:cNvSpPr/>
      </dsp:nvSpPr>
      <dsp:spPr>
        <a:xfrm>
          <a:off x="3294702" y="1474487"/>
          <a:ext cx="300232" cy="19865"/>
        </a:xfrm>
        <a:custGeom>
          <a:avLst/>
          <a:gdLst/>
          <a:ahLst/>
          <a:cxnLst/>
          <a:rect l="0" t="0" r="0" b="0"/>
          <a:pathLst>
            <a:path>
              <a:moveTo>
                <a:pt x="0" y="9932"/>
              </a:moveTo>
              <a:lnTo>
                <a:pt x="300232" y="993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437313" y="1476914"/>
        <a:ext cx="15011" cy="15011"/>
      </dsp:txXfrm>
    </dsp:sp>
    <dsp:sp modelId="{712E9835-9651-4688-AF09-4C340A578B34}">
      <dsp:nvSpPr>
        <dsp:cNvPr id="0" name=""/>
        <dsp:cNvSpPr/>
      </dsp:nvSpPr>
      <dsp:spPr>
        <a:xfrm>
          <a:off x="3594935" y="1296775"/>
          <a:ext cx="750580" cy="375290"/>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Bio-fertilizer</a:t>
          </a:r>
          <a:r>
            <a:rPr lang="en-US" sz="800" kern="1200" baseline="0">
              <a:solidFill>
                <a:sysClr val="window" lastClr="FFFFFF"/>
              </a:solidFill>
              <a:latin typeface="Times New Roman" pitchFamily="18" charset="0"/>
              <a:ea typeface="+mn-ea"/>
              <a:cs typeface="Times New Roman" pitchFamily="18" charset="0"/>
            </a:rPr>
            <a:t> Plant</a:t>
          </a:r>
          <a:endParaRPr lang="en-US" sz="800" kern="1200">
            <a:solidFill>
              <a:sysClr val="window" lastClr="FFFFFF"/>
            </a:solidFill>
            <a:latin typeface="Times New Roman" pitchFamily="18" charset="0"/>
            <a:ea typeface="+mn-ea"/>
            <a:cs typeface="Times New Roman" pitchFamily="18" charset="0"/>
          </a:endParaRPr>
        </a:p>
      </dsp:txBody>
      <dsp:txXfrm>
        <a:off x="3605927" y="1307767"/>
        <a:ext cx="728596" cy="353306"/>
      </dsp:txXfrm>
    </dsp:sp>
    <dsp:sp modelId="{61E4DB06-D971-4B95-9723-C90D9F87CAE4}">
      <dsp:nvSpPr>
        <dsp:cNvPr id="0" name=""/>
        <dsp:cNvSpPr/>
      </dsp:nvSpPr>
      <dsp:spPr>
        <a:xfrm rot="3310531">
          <a:off x="3181948" y="1690279"/>
          <a:ext cx="525741" cy="19865"/>
        </a:xfrm>
        <a:custGeom>
          <a:avLst/>
          <a:gdLst/>
          <a:ahLst/>
          <a:cxnLst/>
          <a:rect l="0" t="0" r="0" b="0"/>
          <a:pathLst>
            <a:path>
              <a:moveTo>
                <a:pt x="0" y="9932"/>
              </a:moveTo>
              <a:lnTo>
                <a:pt x="525741" y="993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431675" y="1687068"/>
        <a:ext cx="26287" cy="26287"/>
      </dsp:txXfrm>
    </dsp:sp>
    <dsp:sp modelId="{C13EAC54-D968-4DC1-9B83-57F9538DA570}">
      <dsp:nvSpPr>
        <dsp:cNvPr id="0" name=""/>
        <dsp:cNvSpPr/>
      </dsp:nvSpPr>
      <dsp:spPr>
        <a:xfrm>
          <a:off x="3594935" y="1728359"/>
          <a:ext cx="750580" cy="375290"/>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Hybrid Hoffman Klin (HHK)</a:t>
          </a:r>
        </a:p>
      </dsp:txBody>
      <dsp:txXfrm>
        <a:off x="3605927" y="1739351"/>
        <a:ext cx="728596" cy="353306"/>
      </dsp:txXfrm>
    </dsp:sp>
    <dsp:sp modelId="{230F65A2-D57E-4612-9B65-8F65CA6DBE82}">
      <dsp:nvSpPr>
        <dsp:cNvPr id="0" name=""/>
        <dsp:cNvSpPr/>
      </dsp:nvSpPr>
      <dsp:spPr>
        <a:xfrm rot="4249260">
          <a:off x="2987873" y="1906071"/>
          <a:ext cx="913891" cy="19865"/>
        </a:xfrm>
        <a:custGeom>
          <a:avLst/>
          <a:gdLst/>
          <a:ahLst/>
          <a:cxnLst/>
          <a:rect l="0" t="0" r="0" b="0"/>
          <a:pathLst>
            <a:path>
              <a:moveTo>
                <a:pt x="0" y="9932"/>
              </a:moveTo>
              <a:lnTo>
                <a:pt x="913891" y="993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421971" y="1893157"/>
        <a:ext cx="45694" cy="45694"/>
      </dsp:txXfrm>
    </dsp:sp>
    <dsp:sp modelId="{2EE5A8F5-4661-45F7-BAA0-5C9996400B8D}">
      <dsp:nvSpPr>
        <dsp:cNvPr id="0" name=""/>
        <dsp:cNvSpPr/>
      </dsp:nvSpPr>
      <dsp:spPr>
        <a:xfrm>
          <a:off x="3594935" y="2159943"/>
          <a:ext cx="750580" cy="375290"/>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Others </a:t>
          </a:r>
        </a:p>
      </dsp:txBody>
      <dsp:txXfrm>
        <a:off x="3605927" y="2170935"/>
        <a:ext cx="728596" cy="353306"/>
      </dsp:txXfrm>
    </dsp:sp>
    <dsp:sp modelId="{F21F804E-39A1-46AF-B98A-245FF50C27B4}">
      <dsp:nvSpPr>
        <dsp:cNvPr id="0" name=""/>
        <dsp:cNvSpPr/>
      </dsp:nvSpPr>
      <dsp:spPr>
        <a:xfrm rot="4616685">
          <a:off x="2780266" y="2121863"/>
          <a:ext cx="1329105" cy="19865"/>
        </a:xfrm>
        <a:custGeom>
          <a:avLst/>
          <a:gdLst/>
          <a:ahLst/>
          <a:cxnLst/>
          <a:rect l="0" t="0" r="0" b="0"/>
          <a:pathLst>
            <a:path>
              <a:moveTo>
                <a:pt x="0" y="9932"/>
              </a:moveTo>
              <a:lnTo>
                <a:pt x="1329105" y="993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411591" y="2098568"/>
        <a:ext cx="66455" cy="66455"/>
      </dsp:txXfrm>
    </dsp:sp>
    <dsp:sp modelId="{AAC2EAD8-FE60-4CF8-B5CA-B214FD24E159}">
      <dsp:nvSpPr>
        <dsp:cNvPr id="0" name=""/>
        <dsp:cNvSpPr/>
      </dsp:nvSpPr>
      <dsp:spPr>
        <a:xfrm>
          <a:off x="3594935" y="2591527"/>
          <a:ext cx="750580" cy="375290"/>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itchFamily="18" charset="0"/>
              <a:ea typeface="+mn-ea"/>
              <a:cs typeface="Times New Roman" pitchFamily="18" charset="0"/>
            </a:rPr>
            <a:t>Green Finance at Reduce rate of Interest</a:t>
          </a:r>
        </a:p>
      </dsp:txBody>
      <dsp:txXfrm>
        <a:off x="3605927" y="2602519"/>
        <a:ext cx="728596" cy="353306"/>
      </dsp:txXfrm>
    </dsp:sp>
    <dsp:sp modelId="{85400A0A-99FC-4145-8A4E-A685EA2FAEA2}">
      <dsp:nvSpPr>
        <dsp:cNvPr id="0" name=""/>
        <dsp:cNvSpPr/>
      </dsp:nvSpPr>
      <dsp:spPr>
        <a:xfrm rot="3954523">
          <a:off x="1878380" y="2769239"/>
          <a:ext cx="945526" cy="19865"/>
        </a:xfrm>
        <a:custGeom>
          <a:avLst/>
          <a:gdLst/>
          <a:ahLst/>
          <a:cxnLst/>
          <a:rect l="0" t="0" r="0" b="0"/>
          <a:pathLst>
            <a:path>
              <a:moveTo>
                <a:pt x="0" y="9932"/>
              </a:moveTo>
              <a:lnTo>
                <a:pt x="945526" y="9932"/>
              </a:lnTo>
            </a:path>
          </a:pathLst>
        </a:custGeom>
        <a:noFill/>
        <a:ln w="9525" cap="flat" cmpd="sng" algn="ctr">
          <a:solidFill>
            <a:srgbClr val="8064A2">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327505" y="2755534"/>
        <a:ext cx="47276" cy="47276"/>
      </dsp:txXfrm>
    </dsp:sp>
    <dsp:sp modelId="{11669BC3-7088-4748-892F-DC6D5BA113B2}">
      <dsp:nvSpPr>
        <dsp:cNvPr id="0" name=""/>
        <dsp:cNvSpPr/>
      </dsp:nvSpPr>
      <dsp:spPr>
        <a:xfrm>
          <a:off x="2544122" y="3023111"/>
          <a:ext cx="750580" cy="375290"/>
        </a:xfrm>
        <a:prstGeom prst="roundRect">
          <a:avLst>
            <a:gd name="adj" fmla="val 10000"/>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solidFill>
                <a:sysClr val="window" lastClr="FFFFFF"/>
              </a:solidFill>
              <a:latin typeface="Times New Roman" pitchFamily="18" charset="0"/>
              <a:ea typeface="+mn-ea"/>
              <a:cs typeface="Times New Roman" pitchFamily="18" charset="0"/>
            </a:rPr>
            <a:t>Indirect Green Finance </a:t>
          </a:r>
        </a:p>
      </dsp:txBody>
      <dsp:txXfrm>
        <a:off x="2555114" y="3034103"/>
        <a:ext cx="728596" cy="353306"/>
      </dsp:txXfrm>
    </dsp:sp>
    <dsp:sp modelId="{FCC17A86-635F-4569-A001-56280602F889}">
      <dsp:nvSpPr>
        <dsp:cNvPr id="0" name=""/>
        <dsp:cNvSpPr/>
      </dsp:nvSpPr>
      <dsp:spPr>
        <a:xfrm>
          <a:off x="3294702" y="3200823"/>
          <a:ext cx="300232" cy="19865"/>
        </a:xfrm>
        <a:custGeom>
          <a:avLst/>
          <a:gdLst/>
          <a:ahLst/>
          <a:cxnLst/>
          <a:rect l="0" t="0" r="0" b="0"/>
          <a:pathLst>
            <a:path>
              <a:moveTo>
                <a:pt x="0" y="9932"/>
              </a:moveTo>
              <a:lnTo>
                <a:pt x="300232" y="9932"/>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437313" y="3203250"/>
        <a:ext cx="15011" cy="15011"/>
      </dsp:txXfrm>
    </dsp:sp>
    <dsp:sp modelId="{983A5402-0C8B-439F-BF78-7CD8294A5FA1}">
      <dsp:nvSpPr>
        <dsp:cNvPr id="0" name=""/>
        <dsp:cNvSpPr/>
      </dsp:nvSpPr>
      <dsp:spPr>
        <a:xfrm>
          <a:off x="3594935" y="3023111"/>
          <a:ext cx="750580" cy="375290"/>
        </a:xfrm>
        <a:prstGeom prst="roundRect">
          <a:avLst>
            <a:gd name="adj" fmla="val 10000"/>
          </a:avLst>
        </a:prstGeom>
        <a:solidFill>
          <a:srgbClr val="C0504D"/>
        </a:solidFill>
        <a:ln w="25400" cap="flat" cmpd="sng" algn="ctr">
          <a:solidFill>
            <a:srgbClr val="C0504D">
              <a:shade val="50000"/>
            </a:srgbClr>
          </a:solidFill>
          <a:prstDash val="solid"/>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Times New Roman" pitchFamily="18" charset="0"/>
              <a:ea typeface="+mn-ea"/>
              <a:cs typeface="Times New Roman" pitchFamily="18" charset="0"/>
            </a:rPr>
            <a:t>Project Financed having ETP</a:t>
          </a:r>
        </a:p>
      </dsp:txBody>
      <dsp:txXfrm>
        <a:off x="3605927" y="3034103"/>
        <a:ext cx="728596" cy="3533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314</TotalTime>
  <Pages>48</Pages>
  <Words>8874</Words>
  <Characters>50584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Farhad Ahad</dc:creator>
  <cp:lastModifiedBy>user</cp:lastModifiedBy>
  <cp:revision>35</cp:revision>
  <dcterms:created xsi:type="dcterms:W3CDTF">2016-03-26T16:46:00Z</dcterms:created>
  <dcterms:modified xsi:type="dcterms:W3CDTF">2020-04-02T14:19:00Z</dcterms:modified>
</cp:coreProperties>
</file>